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7" w:rsidRPr="00057497" w:rsidRDefault="00057497" w:rsidP="00057497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p w:rsidR="00057497" w:rsidRDefault="00057497" w:rsidP="00905356">
      <w:pPr>
        <w:spacing w:after="0" w:line="240" w:lineRule="auto"/>
        <w:rPr>
          <w:b/>
          <w:sz w:val="28"/>
          <w:szCs w:val="28"/>
        </w:rPr>
      </w:pPr>
      <w:r w:rsidRPr="00574FDA">
        <w:rPr>
          <w:b/>
          <w:sz w:val="28"/>
          <w:szCs w:val="28"/>
        </w:rPr>
        <w:t>HEPATITIS A VIRUS</w:t>
      </w:r>
      <w:r w:rsidR="00574FDA" w:rsidRPr="00574FDA">
        <w:rPr>
          <w:b/>
          <w:sz w:val="28"/>
          <w:szCs w:val="28"/>
        </w:rPr>
        <w:t xml:space="preserve"> HEALTH ALERT</w:t>
      </w:r>
    </w:p>
    <w:p w:rsidR="00B94E26" w:rsidRDefault="00B94E26" w:rsidP="00905356">
      <w:pPr>
        <w:spacing w:after="0" w:line="240" w:lineRule="auto"/>
        <w:rPr>
          <w:b/>
          <w:sz w:val="28"/>
          <w:szCs w:val="28"/>
        </w:rPr>
      </w:pPr>
    </w:p>
    <w:p w:rsidR="00B94E26" w:rsidRPr="00B94E26" w:rsidRDefault="00B94E26" w:rsidP="00905356">
      <w:pPr>
        <w:spacing w:after="0" w:line="240" w:lineRule="auto"/>
        <w:rPr>
          <w:sz w:val="24"/>
          <w:szCs w:val="24"/>
        </w:rPr>
      </w:pPr>
      <w:r w:rsidRPr="00B94E26">
        <w:rPr>
          <w:sz w:val="24"/>
          <w:szCs w:val="24"/>
        </w:rPr>
        <w:t>LETTERHEAD</w:t>
      </w:r>
    </w:p>
    <w:p w:rsidR="00574FDA" w:rsidRDefault="00574FDA" w:rsidP="00574FDA">
      <w:pPr>
        <w:spacing w:after="0" w:line="240" w:lineRule="auto"/>
        <w:jc w:val="center"/>
      </w:pPr>
    </w:p>
    <w:p w:rsidR="00057497" w:rsidRDefault="00574FDA" w:rsidP="00057497">
      <w:r>
        <w:t>Date</w:t>
      </w:r>
    </w:p>
    <w:p w:rsidR="00057497" w:rsidRDefault="00574FDA" w:rsidP="00057497">
      <w:r>
        <w:t>Dear Colleague:</w:t>
      </w:r>
    </w:p>
    <w:p w:rsidR="00574FDA" w:rsidRDefault="00574FDA" w:rsidP="00574FDA">
      <w:pPr>
        <w:spacing w:after="0" w:line="240" w:lineRule="auto"/>
      </w:pPr>
      <w:r w:rsidRPr="00F327D9">
        <w:rPr>
          <w:b/>
          <w:u w:val="single"/>
        </w:rPr>
        <w:t>Details of situation</w:t>
      </w:r>
      <w:r w:rsidRPr="00F327D9">
        <w:rPr>
          <w:u w:val="single"/>
        </w:rPr>
        <w:t>:</w:t>
      </w:r>
      <w:r>
        <w:t xml:space="preserve"> [insert info]</w:t>
      </w:r>
    </w:p>
    <w:p w:rsidR="00574FDA" w:rsidRDefault="00574FDA" w:rsidP="00574FDA">
      <w:pPr>
        <w:spacing w:after="0" w:line="240" w:lineRule="auto"/>
      </w:pPr>
    </w:p>
    <w:p w:rsidR="00057497" w:rsidRDefault="00F327D9" w:rsidP="005B0CF6">
      <w:pPr>
        <w:spacing w:after="0" w:line="240" w:lineRule="auto"/>
      </w:pPr>
      <w:r w:rsidRPr="00F327D9">
        <w:rPr>
          <w:b/>
          <w:u w:val="single"/>
        </w:rPr>
        <w:t>Background:</w:t>
      </w:r>
      <w:r>
        <w:t xml:space="preserve"> </w:t>
      </w:r>
      <w:r w:rsidR="00057497">
        <w:t xml:space="preserve">Hepatitis A is a viral infection of the liver. </w:t>
      </w:r>
      <w:r w:rsidR="0090277B">
        <w:t xml:space="preserve">The incubation period for hepatitis A is approximately 28 days (range 15-50 days). </w:t>
      </w:r>
      <w:r w:rsidR="00057497">
        <w:t xml:space="preserve">The virus is </w:t>
      </w:r>
      <w:r w:rsidR="008F727B">
        <w:t>ingested by mouth</w:t>
      </w:r>
      <w:r w:rsidR="00057497">
        <w:t xml:space="preserve"> </w:t>
      </w:r>
      <w:r w:rsidR="00B94E26">
        <w:t>from fecal-</w:t>
      </w:r>
      <w:r w:rsidR="00A06182">
        <w:t xml:space="preserve">contaminated </w:t>
      </w:r>
      <w:r w:rsidR="00B94E26">
        <w:t>food or drink</w:t>
      </w:r>
      <w:r w:rsidR="00A06182">
        <w:t xml:space="preserve">, or through close personal </w:t>
      </w:r>
      <w:r w:rsidR="00B94E26">
        <w:t>contact with an infected person</w:t>
      </w:r>
      <w:r w:rsidR="00057497">
        <w:t xml:space="preserve">. </w:t>
      </w:r>
      <w:r w:rsidR="00FC0150">
        <w:t xml:space="preserve"> </w:t>
      </w:r>
      <w:r w:rsidR="00B81C3B">
        <w:t xml:space="preserve">Those with the hepatitis A virus are most infectious </w:t>
      </w:r>
      <w:r w:rsidR="00B94E26">
        <w:t>2</w:t>
      </w:r>
      <w:r w:rsidR="00B81C3B">
        <w:t xml:space="preserve"> week</w:t>
      </w:r>
      <w:r w:rsidR="00B94E26">
        <w:t>s</w:t>
      </w:r>
      <w:r w:rsidR="00B81C3B">
        <w:t xml:space="preserve"> prior to symptom onset. </w:t>
      </w:r>
      <w:r w:rsidR="008F727B">
        <w:t>S</w:t>
      </w:r>
      <w:r w:rsidR="00057497">
        <w:t xml:space="preserve">ymptoms </w:t>
      </w:r>
      <w:r w:rsidR="00FC0150">
        <w:t>include</w:t>
      </w:r>
      <w:r w:rsidR="00057497">
        <w:t xml:space="preserve"> fever, fatigue, </w:t>
      </w:r>
      <w:proofErr w:type="gramStart"/>
      <w:r w:rsidR="00057497">
        <w:t>loss</w:t>
      </w:r>
      <w:proofErr w:type="gramEnd"/>
      <w:r w:rsidR="00057497">
        <w:t xml:space="preserve"> of appetite, nausea, vomiting, </w:t>
      </w:r>
      <w:r w:rsidR="00E62774">
        <w:t xml:space="preserve">abdominal discomfort, </w:t>
      </w:r>
      <w:r w:rsidR="00057497">
        <w:t xml:space="preserve">dark urine, </w:t>
      </w:r>
      <w:r w:rsidR="00E62774">
        <w:t xml:space="preserve">clay-colored bowel movements, joint pain, </w:t>
      </w:r>
      <w:r w:rsidR="00057497">
        <w:t>and</w:t>
      </w:r>
      <w:r w:rsidR="00E62774">
        <w:t xml:space="preserve"> jaundice</w:t>
      </w:r>
      <w:r w:rsidR="00057497">
        <w:t>.</w:t>
      </w:r>
      <w:r w:rsidR="00E62774">
        <w:t xml:space="preserve"> </w:t>
      </w:r>
      <w:r w:rsidR="008F727B">
        <w:t>S</w:t>
      </w:r>
      <w:r w:rsidR="00057497">
        <w:t>ymptoms can last for several weeks</w:t>
      </w:r>
      <w:r w:rsidR="00507B14">
        <w:t xml:space="preserve"> and </w:t>
      </w:r>
      <w:r w:rsidR="00E62774">
        <w:t xml:space="preserve">typically </w:t>
      </w:r>
      <w:r w:rsidR="00507B14">
        <w:t xml:space="preserve">do not last more </w:t>
      </w:r>
      <w:r w:rsidR="00E62774">
        <w:t xml:space="preserve">than </w:t>
      </w:r>
      <w:r w:rsidR="00EB7D44">
        <w:t>2 months</w:t>
      </w:r>
      <w:r w:rsidR="00507B14">
        <w:t>. Children under 6</w:t>
      </w:r>
      <w:r w:rsidR="00057497">
        <w:t xml:space="preserve"> years of age with hepatitis A </w:t>
      </w:r>
      <w:r w:rsidR="008F727B">
        <w:t>are often asymptomatic</w:t>
      </w:r>
      <w:r w:rsidR="00057497">
        <w:t>.</w:t>
      </w:r>
    </w:p>
    <w:p w:rsidR="005B0CF6" w:rsidRDefault="005B0CF6" w:rsidP="005B0CF6">
      <w:pPr>
        <w:spacing w:after="0" w:line="240" w:lineRule="auto"/>
      </w:pPr>
    </w:p>
    <w:p w:rsidR="00057497" w:rsidRDefault="00057497" w:rsidP="005B0CF6">
      <w:pPr>
        <w:spacing w:after="0" w:line="240" w:lineRule="auto"/>
      </w:pPr>
      <w:r>
        <w:t>The majority of exposures have</w:t>
      </w:r>
      <w:r w:rsidR="008F727B">
        <w:t xml:space="preserve"> usually </w:t>
      </w:r>
      <w:r>
        <w:t>occurred before the patient presents to the healthcare provider.</w:t>
      </w:r>
      <w:r w:rsidR="008F727B">
        <w:t xml:space="preserve"> </w:t>
      </w:r>
      <w:r>
        <w:t>Thorough hand washing after visits to the restroom, before touching food or drink, and a</w:t>
      </w:r>
      <w:r w:rsidR="008F727B">
        <w:t>fter changing a baby’s diaper can assist in mitigating spread.</w:t>
      </w:r>
      <w:r w:rsidR="005B0CF6">
        <w:t xml:space="preserve"> </w:t>
      </w:r>
    </w:p>
    <w:p w:rsidR="005B0CF6" w:rsidRDefault="005B0CF6" w:rsidP="005B0CF6">
      <w:pPr>
        <w:spacing w:after="0" w:line="240" w:lineRule="auto"/>
      </w:pPr>
    </w:p>
    <w:p w:rsidR="00BA567B" w:rsidRDefault="008D5393" w:rsidP="005B0CF6">
      <w:pPr>
        <w:spacing w:after="0" w:line="240" w:lineRule="auto"/>
      </w:pPr>
      <w:r w:rsidRPr="00B94E26">
        <w:rPr>
          <w:b/>
          <w:u w:val="single"/>
        </w:rPr>
        <w:t>Vaccination:</w:t>
      </w:r>
      <w:r>
        <w:t xml:space="preserve"> </w:t>
      </w:r>
      <w:r w:rsidR="005B0CF6" w:rsidRPr="005B0CF6">
        <w:t xml:space="preserve">All patients should be kept current with </w:t>
      </w:r>
      <w:r w:rsidR="005B0CF6">
        <w:t>hepatitis A</w:t>
      </w:r>
      <w:r w:rsidR="005B0CF6" w:rsidRPr="005B0CF6">
        <w:t xml:space="preserve"> vaccination. Check the vaccination history of all patients and offer vaccine to anyone that is not up to date with the vaccine schedule. </w:t>
      </w:r>
      <w:r w:rsidR="00B94E26">
        <w:t>Two doses of hepatitis A vaccine</w:t>
      </w:r>
      <w:r w:rsidR="00100D47">
        <w:t xml:space="preserve"> given 6 months apart </w:t>
      </w:r>
      <w:r w:rsidR="00593693">
        <w:t>remains an</w:t>
      </w:r>
      <w:r w:rsidR="005B0CF6" w:rsidRPr="005B0CF6">
        <w:t xml:space="preserve"> effective way to prevent </w:t>
      </w:r>
      <w:r w:rsidR="00100D47">
        <w:t>disease and outbreaks.</w:t>
      </w:r>
      <w:r w:rsidR="00BA567B">
        <w:t xml:space="preserve"> Hepatitis A vaccine is recommended for: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All children at age 1 year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before="75" w:after="150" w:line="312" w:lineRule="atLeast"/>
        <w:rPr>
          <w:rFonts w:eastAsia="Times New Roman" w:cstheme="minorHAnsi"/>
          <w:color w:val="000000"/>
        </w:rPr>
      </w:pPr>
      <w:r w:rsidRPr="00BA567B">
        <w:rPr>
          <w:rFonts w:eastAsia="Times New Roman" w:cstheme="minorHAnsi"/>
          <w:color w:val="000000"/>
        </w:rPr>
        <w:t>Food service workers or other food handlers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before="75" w:after="150" w:line="312" w:lineRule="atLeast"/>
        <w:rPr>
          <w:rFonts w:eastAsia="Times New Roman" w:cstheme="minorHAnsi"/>
          <w:color w:val="000000"/>
        </w:rPr>
      </w:pPr>
      <w:r w:rsidRPr="00BA567B">
        <w:rPr>
          <w:rFonts w:eastAsia="Times New Roman" w:cstheme="minorHAnsi"/>
          <w:color w:val="000000"/>
        </w:rPr>
        <w:t>International travelers, including on cruise ships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Men who have sex with men</w:t>
      </w:r>
    </w:p>
    <w:p w:rsidR="00BA567B" w:rsidRDefault="00BA567B" w:rsidP="00BA567B">
      <w:pPr>
        <w:pStyle w:val="ListParagraph"/>
        <w:numPr>
          <w:ilvl w:val="0"/>
          <w:numId w:val="8"/>
        </w:numPr>
        <w:spacing w:before="75" w:after="150" w:line="312" w:lineRule="atLeast"/>
        <w:rPr>
          <w:rFonts w:eastAsia="Times New Roman" w:cstheme="minorHAnsi"/>
          <w:color w:val="000000"/>
        </w:rPr>
      </w:pPr>
      <w:r w:rsidRPr="00BA567B">
        <w:rPr>
          <w:rFonts w:eastAsia="Times New Roman" w:cstheme="minorHAnsi"/>
          <w:color w:val="000000"/>
        </w:rPr>
        <w:t>Drug users, injection and non-injection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Persons with clotting-factor disorders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before="75" w:after="150" w:line="312" w:lineRule="atLeast"/>
        <w:rPr>
          <w:rFonts w:eastAsia="Times New Roman" w:cstheme="minorHAnsi"/>
          <w:color w:val="000000"/>
        </w:rPr>
      </w:pPr>
      <w:r w:rsidRPr="00BA567B">
        <w:rPr>
          <w:rFonts w:eastAsia="Times New Roman" w:cstheme="minorHAnsi"/>
          <w:color w:val="000000"/>
        </w:rPr>
        <w:t>Persons that work with non-human primates</w:t>
      </w:r>
      <w:r w:rsidRPr="00BA567B">
        <w:rPr>
          <w:rFonts w:cstheme="minorHAnsi"/>
        </w:rPr>
        <w:t xml:space="preserve"> or with hepatitis A in a research laboratory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Persons with chronic liver disease, including HBV- and HCV-infected persons with chronic liver disease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Family and care givers of recent adoptees from countries where hepatitis A is common</w:t>
      </w:r>
    </w:p>
    <w:p w:rsidR="00BA567B" w:rsidRPr="00BA567B" w:rsidRDefault="00BA567B" w:rsidP="00BA567B">
      <w:pPr>
        <w:pStyle w:val="ListParagraph"/>
        <w:numPr>
          <w:ilvl w:val="0"/>
          <w:numId w:val="8"/>
        </w:numPr>
        <w:spacing w:before="75" w:after="150" w:line="312" w:lineRule="atLeast"/>
        <w:rPr>
          <w:rFonts w:eastAsia="Times New Roman" w:cstheme="minorHAnsi"/>
          <w:color w:val="000000"/>
        </w:rPr>
      </w:pPr>
      <w:r w:rsidRPr="00BA567B">
        <w:rPr>
          <w:rFonts w:cstheme="minorHAnsi"/>
        </w:rPr>
        <w:t>Anyone else seeking long-term protection</w:t>
      </w:r>
    </w:p>
    <w:p w:rsidR="00BA567B" w:rsidRPr="00BA567B" w:rsidRDefault="00BA567B" w:rsidP="00BA567B">
      <w:pPr>
        <w:spacing w:after="0" w:line="240" w:lineRule="auto"/>
        <w:rPr>
          <w:rFonts w:cstheme="minorHAnsi"/>
        </w:rPr>
      </w:pPr>
      <w:r w:rsidRPr="00BA567B">
        <w:rPr>
          <w:rFonts w:cstheme="minorHAnsi"/>
        </w:rPr>
        <w:t>Detailed guidelines for hepatitis A vaccination are available at: </w:t>
      </w:r>
      <w:hyperlink r:id="rId8" w:anchor="vacc" w:history="1">
        <w:r w:rsidRPr="00BA567B">
          <w:rPr>
            <w:rStyle w:val="Hyperlink"/>
            <w:rFonts w:cstheme="minorHAnsi"/>
          </w:rPr>
          <w:t>http://www.cdc.gov/vaccines/vpd-vac/hepa/default.htm#vacc</w:t>
        </w:r>
      </w:hyperlink>
    </w:p>
    <w:p w:rsidR="00BA567B" w:rsidRDefault="00BA567B" w:rsidP="005B0CF6">
      <w:pPr>
        <w:spacing w:after="0" w:line="240" w:lineRule="auto"/>
      </w:pPr>
    </w:p>
    <w:p w:rsidR="0032586E" w:rsidRDefault="009D6D79" w:rsidP="0032586E">
      <w:pPr>
        <w:spacing w:after="0" w:line="240" w:lineRule="auto"/>
      </w:pPr>
      <w:r w:rsidRPr="001A4E95">
        <w:rPr>
          <w:b/>
        </w:rPr>
        <w:t>Lab Confirmation Test</w:t>
      </w:r>
      <w:r w:rsidR="0032586E">
        <w:t>:</w:t>
      </w:r>
      <w:r>
        <w:t xml:space="preserve"> </w:t>
      </w:r>
      <w:r w:rsidR="00281B5F">
        <w:t>Serological testing is required to confirm the diagnosis</w:t>
      </w:r>
      <w:r w:rsidR="00931F4E">
        <w:t xml:space="preserve"> of hepatitis A</w:t>
      </w:r>
      <w:r w:rsidR="00281B5F">
        <w:t xml:space="preserve">. </w:t>
      </w:r>
      <w:r w:rsidR="00931F4E">
        <w:t xml:space="preserve">The confirmatory test for hepatitis A is </w:t>
      </w:r>
      <w:r w:rsidR="00FC0150">
        <w:t>Ig</w:t>
      </w:r>
      <w:r w:rsidR="00057497">
        <w:t xml:space="preserve">M </w:t>
      </w:r>
      <w:r w:rsidR="00680521">
        <w:t>anti-HAV</w:t>
      </w:r>
      <w:r w:rsidR="00057497">
        <w:t xml:space="preserve">. </w:t>
      </w:r>
    </w:p>
    <w:p w:rsidR="0032586E" w:rsidRDefault="0032586E" w:rsidP="0032586E">
      <w:pPr>
        <w:spacing w:after="0" w:line="240" w:lineRule="auto"/>
      </w:pPr>
    </w:p>
    <w:p w:rsidR="004473F7" w:rsidRDefault="0032586E" w:rsidP="0032586E">
      <w:pPr>
        <w:spacing w:after="0" w:line="240" w:lineRule="auto"/>
        <w:rPr>
          <w:iCs/>
          <w:lang w:val="en"/>
        </w:rPr>
      </w:pPr>
      <w:r w:rsidRPr="007A68C9">
        <w:rPr>
          <w:b/>
        </w:rPr>
        <w:t>Disease Reporting Requirements/Statute</w:t>
      </w:r>
      <w:r>
        <w:t>:</w:t>
      </w:r>
      <w:r w:rsidR="00743F98">
        <w:t xml:space="preserve"> </w:t>
      </w:r>
      <w:r w:rsidR="00743F98" w:rsidRPr="006C7DA7">
        <w:rPr>
          <w:iCs/>
          <w:lang w:val="en"/>
        </w:rPr>
        <w:t>Several Texas laws (</w:t>
      </w:r>
      <w:hyperlink r:id="rId9" w:history="1">
        <w:r w:rsidR="00743F98" w:rsidRPr="006C7DA7">
          <w:rPr>
            <w:rStyle w:val="Hyperlink"/>
            <w:iCs/>
            <w:lang w:val="en"/>
          </w:rPr>
          <w:t>Health &amp; Safety Code, Chapters 81, 84, and 87</w:t>
        </w:r>
      </w:hyperlink>
      <w:r w:rsidR="00743F98" w:rsidRPr="006C7DA7">
        <w:rPr>
          <w:iCs/>
          <w:lang w:val="en"/>
        </w:rPr>
        <w:t>) require specific information regarding notifi</w:t>
      </w:r>
      <w:r w:rsidR="00743F98">
        <w:rPr>
          <w:iCs/>
          <w:lang w:val="en"/>
        </w:rPr>
        <w:t xml:space="preserve">able conditions be provided to </w:t>
      </w:r>
      <w:r w:rsidR="00743F98" w:rsidRPr="006C7DA7">
        <w:rPr>
          <w:iCs/>
          <w:lang w:val="en"/>
        </w:rPr>
        <w:t xml:space="preserve">DSHS. Health care providers, hospitals, laboratories, schools, childcare facilities and others are required to report patients who are suspected of having </w:t>
      </w:r>
      <w:r w:rsidR="00743F98">
        <w:rPr>
          <w:iCs/>
          <w:lang w:val="en"/>
        </w:rPr>
        <w:t>hepatitis A</w:t>
      </w:r>
      <w:r w:rsidR="00C9575C">
        <w:rPr>
          <w:iCs/>
          <w:lang w:val="en"/>
        </w:rPr>
        <w:t xml:space="preserve"> </w:t>
      </w:r>
      <w:r w:rsidR="00743F98" w:rsidRPr="006C7DA7">
        <w:rPr>
          <w:iCs/>
          <w:lang w:val="en"/>
        </w:rPr>
        <w:t>(</w:t>
      </w:r>
      <w:hyperlink r:id="rId10" w:tooltip="Chapter 97, Communicable Diseases" w:history="1">
        <w:r w:rsidR="00743F98" w:rsidRPr="006C7DA7">
          <w:rPr>
            <w:rStyle w:val="Hyperlink"/>
            <w:iCs/>
            <w:lang w:val="en"/>
          </w:rPr>
          <w:t xml:space="preserve">Chapter 97, Title 25, Texas Administrative </w:t>
        </w:r>
        <w:proofErr w:type="gramStart"/>
        <w:r w:rsidR="00743F98" w:rsidRPr="006C7DA7">
          <w:rPr>
            <w:rStyle w:val="Hyperlink"/>
            <w:iCs/>
            <w:lang w:val="en"/>
          </w:rPr>
          <w:t xml:space="preserve">Code </w:t>
        </w:r>
        <w:proofErr w:type="gramEnd"/>
      </w:hyperlink>
      <w:r w:rsidR="00743F98" w:rsidRPr="006C7DA7">
        <w:rPr>
          <w:iCs/>
          <w:lang w:val="en"/>
        </w:rPr>
        <w:t xml:space="preserve">).  </w:t>
      </w:r>
    </w:p>
    <w:p w:rsidR="004473F7" w:rsidRDefault="004473F7" w:rsidP="0032586E">
      <w:pPr>
        <w:spacing w:after="0" w:line="240" w:lineRule="auto"/>
        <w:rPr>
          <w:iCs/>
          <w:lang w:val="en"/>
        </w:rPr>
      </w:pPr>
    </w:p>
    <w:p w:rsidR="0032586E" w:rsidRPr="004473F7" w:rsidRDefault="00743F98" w:rsidP="004473F7">
      <w:pPr>
        <w:spacing w:after="0" w:line="240" w:lineRule="auto"/>
        <w:jc w:val="center"/>
        <w:rPr>
          <w:b/>
        </w:rPr>
      </w:pPr>
      <w:r w:rsidRPr="004473F7">
        <w:rPr>
          <w:b/>
          <w:iCs/>
          <w:lang w:val="en"/>
        </w:rPr>
        <w:t xml:space="preserve">In Texas, </w:t>
      </w:r>
      <w:r w:rsidR="00057497" w:rsidRPr="004473F7">
        <w:rPr>
          <w:b/>
        </w:rPr>
        <w:t>confirmed or suspect</w:t>
      </w:r>
      <w:r w:rsidR="00FC0150" w:rsidRPr="004473F7">
        <w:rPr>
          <w:b/>
        </w:rPr>
        <w:t>ed</w:t>
      </w:r>
      <w:r w:rsidR="004473F7" w:rsidRPr="004473F7">
        <w:rPr>
          <w:b/>
        </w:rPr>
        <w:t xml:space="preserve"> </w:t>
      </w:r>
      <w:r w:rsidR="00E1735A">
        <w:rPr>
          <w:b/>
        </w:rPr>
        <w:t xml:space="preserve">acute </w:t>
      </w:r>
      <w:r w:rsidR="00C9575C">
        <w:rPr>
          <w:b/>
        </w:rPr>
        <w:t xml:space="preserve">hepatitis A </w:t>
      </w:r>
      <w:r w:rsidR="004473F7" w:rsidRPr="004473F7">
        <w:rPr>
          <w:b/>
        </w:rPr>
        <w:t>cases are required to be reported within 1 work day. Hepatitis A reports should be made to (LHD/HSR information here).</w:t>
      </w:r>
    </w:p>
    <w:p w:rsidR="0032586E" w:rsidRDefault="0032586E" w:rsidP="0032586E">
      <w:pPr>
        <w:spacing w:after="0" w:line="240" w:lineRule="auto"/>
      </w:pPr>
    </w:p>
    <w:p w:rsidR="006755D6" w:rsidRDefault="0032586E" w:rsidP="0050375F">
      <w:pPr>
        <w:spacing w:after="0" w:line="240" w:lineRule="auto"/>
      </w:pPr>
      <w:r w:rsidRPr="006D6B86">
        <w:rPr>
          <w:b/>
        </w:rPr>
        <w:t xml:space="preserve">Treatment and </w:t>
      </w:r>
      <w:proofErr w:type="spellStart"/>
      <w:r w:rsidRPr="006D6B86">
        <w:rPr>
          <w:b/>
        </w:rPr>
        <w:t>Postexposure</w:t>
      </w:r>
      <w:proofErr w:type="spellEnd"/>
      <w:r w:rsidRPr="006D6B86">
        <w:rPr>
          <w:b/>
        </w:rPr>
        <w:t xml:space="preserve"> Prophylaxis (PEP) Recommendations</w:t>
      </w:r>
      <w:r>
        <w:t>:</w:t>
      </w:r>
      <w:r w:rsidR="008222CA">
        <w:t xml:space="preserve"> There is no specific treatment for hepatitis A, only supportive treatment a</w:t>
      </w:r>
      <w:r w:rsidR="0050375F">
        <w:t xml:space="preserve">nd management of the infection. </w:t>
      </w:r>
    </w:p>
    <w:p w:rsidR="0050375F" w:rsidRDefault="0050375F" w:rsidP="00B64FD9">
      <w:pPr>
        <w:pStyle w:val="ListParagraph"/>
        <w:numPr>
          <w:ilvl w:val="0"/>
          <w:numId w:val="5"/>
        </w:numPr>
        <w:spacing w:after="0" w:line="240" w:lineRule="auto"/>
      </w:pPr>
      <w:r>
        <w:t>Household and sexual contacts should be identified immediately and those that are unvaccinated should be offered post exposure prophylaxis with immune globulin (IG) or vaccine as follows:</w:t>
      </w:r>
    </w:p>
    <w:p w:rsidR="0050375F" w:rsidRDefault="0050375F" w:rsidP="00B64FD9">
      <w:pPr>
        <w:pStyle w:val="ListParagraph"/>
        <w:numPr>
          <w:ilvl w:val="1"/>
          <w:numId w:val="5"/>
        </w:numPr>
        <w:spacing w:after="0" w:line="240" w:lineRule="auto"/>
      </w:pPr>
      <w:r>
        <w:t>For persons 1-40 years of age, offer vaccine within 2 weeks of exposure</w:t>
      </w:r>
      <w:r w:rsidR="00E1735A">
        <w:t>.</w:t>
      </w:r>
    </w:p>
    <w:p w:rsidR="0050375F" w:rsidRDefault="0050375F" w:rsidP="00B64FD9">
      <w:pPr>
        <w:pStyle w:val="ListParagraph"/>
        <w:numPr>
          <w:ilvl w:val="1"/>
          <w:numId w:val="5"/>
        </w:numPr>
        <w:spacing w:after="0" w:line="240" w:lineRule="auto"/>
      </w:pPr>
      <w:r>
        <w:t>For persons &lt;1 or &gt;40, immunocompromised, diagnosed with liver disease, or cannot receive vaccine, provide IG within 2 weeks of exposure</w:t>
      </w:r>
      <w:r w:rsidR="00E1735A">
        <w:t>.</w:t>
      </w:r>
    </w:p>
    <w:p w:rsidR="0050375F" w:rsidRDefault="0050375F" w:rsidP="00B64FD9">
      <w:pPr>
        <w:pStyle w:val="ListParagraph"/>
        <w:numPr>
          <w:ilvl w:val="0"/>
          <w:numId w:val="5"/>
        </w:numPr>
        <w:spacing w:after="0" w:line="240" w:lineRule="auto"/>
      </w:pPr>
      <w:r>
        <w:t>Contacts who have received one dose of hepatitis A vaccine at least one month prior to exposure do not need post-exposure prophylaxis.</w:t>
      </w:r>
    </w:p>
    <w:p w:rsidR="00B94E26" w:rsidRDefault="0050375F" w:rsidP="00B64FD9">
      <w:pPr>
        <w:pStyle w:val="ListParagraph"/>
        <w:numPr>
          <w:ilvl w:val="0"/>
          <w:numId w:val="5"/>
        </w:numPr>
        <w:spacing w:after="0" w:line="240" w:lineRule="auto"/>
      </w:pPr>
      <w:r>
        <w:t>Generally, IG and vaccine are not recommended for school or work contacts with the following exceptions</w:t>
      </w:r>
      <w:r w:rsidR="00E1735A">
        <w:t>:</w:t>
      </w:r>
    </w:p>
    <w:p w:rsidR="00B94E26" w:rsidRDefault="0050375F" w:rsidP="00B94E26">
      <w:pPr>
        <w:pStyle w:val="ListParagraph"/>
        <w:numPr>
          <w:ilvl w:val="1"/>
          <w:numId w:val="5"/>
        </w:numPr>
        <w:spacing w:after="0" w:line="240" w:lineRule="auto"/>
      </w:pPr>
      <w:r>
        <w:t>At day care centers, IG or vaccine should be offered if a day care attendee or emp</w:t>
      </w:r>
      <w:r w:rsidR="00B94E26">
        <w:t xml:space="preserve">loyee is IgM-positive or if 2 </w:t>
      </w:r>
      <w:r>
        <w:t xml:space="preserve">household contacts of an employee or attendee are IgM-positive. </w:t>
      </w:r>
    </w:p>
    <w:p w:rsidR="0032586E" w:rsidRDefault="0050375F" w:rsidP="00B94E26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If a food-handler is diagnosed with hepatitis A, the other food handlers should be offered IG or vaccine. Patrons generally do not need prophylaxis although it may be considered if the food-handler prepared food that was not heated, had diarrhea, and IG </w:t>
      </w:r>
      <w:r w:rsidR="00E1735A">
        <w:t>or</w:t>
      </w:r>
      <w:r>
        <w:t xml:space="preserve"> vaccine can be provided within </w:t>
      </w:r>
      <w:r w:rsidR="00B94E26">
        <w:t>2</w:t>
      </w:r>
      <w:r>
        <w:t xml:space="preserve"> weeks of exposure.</w:t>
      </w:r>
    </w:p>
    <w:p w:rsidR="0032586E" w:rsidRDefault="0032586E" w:rsidP="0032586E">
      <w:pPr>
        <w:spacing w:after="0" w:line="240" w:lineRule="auto"/>
      </w:pPr>
    </w:p>
    <w:p w:rsidR="0032586E" w:rsidRDefault="0032586E" w:rsidP="0032586E">
      <w:pPr>
        <w:spacing w:after="0" w:line="240" w:lineRule="auto"/>
      </w:pPr>
      <w:r w:rsidRPr="004D570B">
        <w:rPr>
          <w:b/>
        </w:rPr>
        <w:t>Exclusion Guidelines</w:t>
      </w:r>
      <w:r>
        <w:t>:</w:t>
      </w:r>
      <w:r w:rsidR="00C30D52">
        <w:t xml:space="preserve"> </w:t>
      </w:r>
      <w:r w:rsidR="005E24C2">
        <w:t>Children and adults who work as f</w:t>
      </w:r>
      <w:r w:rsidR="00C30D52" w:rsidRPr="00C30D52">
        <w:t xml:space="preserve">ood-handlers </w:t>
      </w:r>
      <w:r w:rsidR="005E24C2">
        <w:t>or attend or work in childcare or school setting s</w:t>
      </w:r>
      <w:r w:rsidR="00C30D52" w:rsidRPr="00C30D52">
        <w:t xml:space="preserve">hould be kept out of </w:t>
      </w:r>
      <w:r w:rsidR="00712056">
        <w:t xml:space="preserve">school and/or </w:t>
      </w:r>
      <w:r w:rsidR="00C30D52" w:rsidRPr="00C30D52">
        <w:t>work for seven days after the onset of symptoms</w:t>
      </w:r>
      <w:r w:rsidR="00C30D52">
        <w:t xml:space="preserve">. </w:t>
      </w:r>
      <w:r w:rsidR="00B94E26">
        <w:t xml:space="preserve">Children with a fever over 100 degrees are also excluded from school/childcare until the fever has been gone for 24 hours without fever-reducing medication. </w:t>
      </w:r>
      <w:r w:rsidR="00B94E26" w:rsidRPr="00C30D52">
        <w:t>School and childcare exclusion are mandated by the Texas Administrative Code</w:t>
      </w:r>
      <w:r w:rsidR="00B94E26">
        <w:t xml:space="preserve">, </w:t>
      </w:r>
      <w:hyperlink r:id="rId11" w:tooltip="Rule 97.7" w:history="1">
        <w:r w:rsidR="00B94E26" w:rsidRPr="00080BF9">
          <w:rPr>
            <w:rStyle w:val="Hyperlink"/>
          </w:rPr>
          <w:t>Rule 97.7</w:t>
        </w:r>
      </w:hyperlink>
      <w:r w:rsidR="00B94E26">
        <w:t xml:space="preserve"> </w:t>
      </w:r>
      <w:r w:rsidR="00B94E26" w:rsidRPr="00080BF9">
        <w:t xml:space="preserve">and </w:t>
      </w:r>
      <w:hyperlink r:id="rId12" w:tooltip="Rule 746.3603" w:history="1">
        <w:r w:rsidR="00B94E26" w:rsidRPr="00080BF9">
          <w:rPr>
            <w:rStyle w:val="Hyperlink"/>
          </w:rPr>
          <w:t>Rule 746.3603</w:t>
        </w:r>
      </w:hyperlink>
      <w:r w:rsidR="00B94E26" w:rsidRPr="00C30D52">
        <w:t>.</w:t>
      </w:r>
    </w:p>
    <w:p w:rsidR="00057497" w:rsidRDefault="00057497" w:rsidP="0032586E">
      <w:pPr>
        <w:spacing w:after="0" w:line="240" w:lineRule="auto"/>
      </w:pPr>
    </w:p>
    <w:p w:rsidR="000203C1" w:rsidRDefault="000203C1" w:rsidP="000203C1">
      <w:pPr>
        <w:spacing w:after="0"/>
      </w:pPr>
    </w:p>
    <w:p w:rsidR="00057497" w:rsidRDefault="000203C1" w:rsidP="000203C1">
      <w:pPr>
        <w:spacing w:after="0"/>
      </w:pPr>
      <w:r>
        <w:t>Health Authority Signature Block</w:t>
      </w:r>
    </w:p>
    <w:sectPr w:rsidR="00057497" w:rsidSect="000574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24" w:rsidRDefault="00083924" w:rsidP="00FC0150">
      <w:pPr>
        <w:spacing w:after="0" w:line="240" w:lineRule="auto"/>
      </w:pPr>
      <w:r>
        <w:separator/>
      </w:r>
    </w:p>
  </w:endnote>
  <w:endnote w:type="continuationSeparator" w:id="0">
    <w:p w:rsidR="00083924" w:rsidRDefault="00083924" w:rsidP="00FC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24" w:rsidRDefault="00083924" w:rsidP="00FC0150">
      <w:pPr>
        <w:spacing w:after="0" w:line="240" w:lineRule="auto"/>
      </w:pPr>
      <w:r>
        <w:separator/>
      </w:r>
    </w:p>
  </w:footnote>
  <w:footnote w:type="continuationSeparator" w:id="0">
    <w:p w:rsidR="00083924" w:rsidRDefault="00083924" w:rsidP="00FC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0" w:rsidRDefault="00FC0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BAA"/>
    <w:multiLevelType w:val="hybridMultilevel"/>
    <w:tmpl w:val="495E2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6A30BA"/>
    <w:multiLevelType w:val="hybridMultilevel"/>
    <w:tmpl w:val="34CE1570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249E"/>
    <w:multiLevelType w:val="hybridMultilevel"/>
    <w:tmpl w:val="C2FA6A56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6B6C"/>
    <w:multiLevelType w:val="hybridMultilevel"/>
    <w:tmpl w:val="D41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2892"/>
    <w:multiLevelType w:val="hybridMultilevel"/>
    <w:tmpl w:val="9614F99C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2B29"/>
    <w:multiLevelType w:val="hybridMultilevel"/>
    <w:tmpl w:val="0AD04578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0D87"/>
    <w:multiLevelType w:val="hybridMultilevel"/>
    <w:tmpl w:val="49E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1FA1"/>
    <w:multiLevelType w:val="hybridMultilevel"/>
    <w:tmpl w:val="31AAA190"/>
    <w:lvl w:ilvl="0" w:tplc="FB045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13A1"/>
    <w:multiLevelType w:val="hybridMultilevel"/>
    <w:tmpl w:val="95D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7"/>
    <w:rsid w:val="000047F4"/>
    <w:rsid w:val="000203C1"/>
    <w:rsid w:val="00057497"/>
    <w:rsid w:val="00080BF9"/>
    <w:rsid w:val="00083924"/>
    <w:rsid w:val="000B3A6F"/>
    <w:rsid w:val="000B47B2"/>
    <w:rsid w:val="00100D47"/>
    <w:rsid w:val="001A4E95"/>
    <w:rsid w:val="00281B5F"/>
    <w:rsid w:val="00291D86"/>
    <w:rsid w:val="002B41D8"/>
    <w:rsid w:val="002C1024"/>
    <w:rsid w:val="002C117C"/>
    <w:rsid w:val="002D53C3"/>
    <w:rsid w:val="0032586E"/>
    <w:rsid w:val="00327810"/>
    <w:rsid w:val="0038444E"/>
    <w:rsid w:val="003C3B80"/>
    <w:rsid w:val="004473F7"/>
    <w:rsid w:val="004A3258"/>
    <w:rsid w:val="004D570B"/>
    <w:rsid w:val="0050375F"/>
    <w:rsid w:val="00507B14"/>
    <w:rsid w:val="00523497"/>
    <w:rsid w:val="00574FDA"/>
    <w:rsid w:val="00593693"/>
    <w:rsid w:val="005B0CF6"/>
    <w:rsid w:val="005E24C2"/>
    <w:rsid w:val="006329AA"/>
    <w:rsid w:val="006755D6"/>
    <w:rsid w:val="00680521"/>
    <w:rsid w:val="006D6B86"/>
    <w:rsid w:val="00712056"/>
    <w:rsid w:val="00743F98"/>
    <w:rsid w:val="00746323"/>
    <w:rsid w:val="00773A4D"/>
    <w:rsid w:val="007A68C9"/>
    <w:rsid w:val="007D164B"/>
    <w:rsid w:val="008222CA"/>
    <w:rsid w:val="00870421"/>
    <w:rsid w:val="008C3448"/>
    <w:rsid w:val="008D5393"/>
    <w:rsid w:val="008F727B"/>
    <w:rsid w:val="0090277B"/>
    <w:rsid w:val="00905356"/>
    <w:rsid w:val="00931F4E"/>
    <w:rsid w:val="009D6D79"/>
    <w:rsid w:val="00A06182"/>
    <w:rsid w:val="00B479E8"/>
    <w:rsid w:val="00B64FD9"/>
    <w:rsid w:val="00B81C3B"/>
    <w:rsid w:val="00B94E26"/>
    <w:rsid w:val="00BA567B"/>
    <w:rsid w:val="00C30D52"/>
    <w:rsid w:val="00C65BBA"/>
    <w:rsid w:val="00C750E9"/>
    <w:rsid w:val="00C9575C"/>
    <w:rsid w:val="00D67E7A"/>
    <w:rsid w:val="00E1735A"/>
    <w:rsid w:val="00E46772"/>
    <w:rsid w:val="00E62774"/>
    <w:rsid w:val="00EB7D44"/>
    <w:rsid w:val="00F327D9"/>
    <w:rsid w:val="00F46311"/>
    <w:rsid w:val="00F67942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50"/>
  </w:style>
  <w:style w:type="paragraph" w:styleId="Footer">
    <w:name w:val="footer"/>
    <w:basedOn w:val="Normal"/>
    <w:link w:val="FooterChar"/>
    <w:uiPriority w:val="99"/>
    <w:unhideWhenUsed/>
    <w:rsid w:val="00F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50"/>
  </w:style>
  <w:style w:type="paragraph" w:styleId="Revision">
    <w:name w:val="Revision"/>
    <w:hidden/>
    <w:uiPriority w:val="99"/>
    <w:semiHidden/>
    <w:rsid w:val="00F463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F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50"/>
  </w:style>
  <w:style w:type="paragraph" w:styleId="Footer">
    <w:name w:val="footer"/>
    <w:basedOn w:val="Normal"/>
    <w:link w:val="FooterChar"/>
    <w:uiPriority w:val="99"/>
    <w:unhideWhenUsed/>
    <w:rsid w:val="00F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50"/>
  </w:style>
  <w:style w:type="paragraph" w:styleId="Revision">
    <w:name w:val="Revision"/>
    <w:hidden/>
    <w:uiPriority w:val="99"/>
    <w:semiHidden/>
    <w:rsid w:val="00F463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F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vpd-vac/hepa/default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.sos.state.tx.us/pls/pub/readtac$ext.TacPage?sl=R&amp;app=9&amp;p_dir=&amp;p_rloc=&amp;p_tloc=&amp;p_ploc=&amp;pg=1&amp;p_tac=&amp;ti=40&amp;pt=19&amp;ch=746&amp;rl=360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.sos.state.tx.us/pls/pub/readtac$ext.TacPage?sl=R&amp;app=9&amp;p_dir=&amp;p_rloc=&amp;p_tloc=&amp;p_ploc=&amp;pg=1&amp;p_tac=&amp;ti=25&amp;pt=1&amp;ch=97&amp;rl=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.sos.state.tx.us/pls/pub/readtac$ext.ViewTAC?tac_view=4&amp;ti=25&amp;pt=1&amp;ch=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?link=H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Wiseman,Rachel (DSHS)</cp:lastModifiedBy>
  <cp:revision>2</cp:revision>
  <cp:lastPrinted>2013-11-14T21:54:00Z</cp:lastPrinted>
  <dcterms:created xsi:type="dcterms:W3CDTF">2014-02-02T21:06:00Z</dcterms:created>
  <dcterms:modified xsi:type="dcterms:W3CDTF">2014-02-02T21:06:00Z</dcterms:modified>
</cp:coreProperties>
</file>