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72F81C" w14:textId="77777777" w:rsidR="0061353F" w:rsidRDefault="0061353F" w:rsidP="00A2573A">
      <w:r>
        <w:rPr>
          <w:noProof/>
        </w:rPr>
        <w:drawing>
          <wp:anchor distT="0" distB="0" distL="114300" distR="114300" simplePos="0" relativeHeight="251659264" behindDoc="1" locked="0" layoutInCell="1" allowOverlap="1" wp14:anchorId="75178FB9" wp14:editId="23F19449">
            <wp:simplePos x="0" y="0"/>
            <wp:positionH relativeFrom="page">
              <wp:align>left</wp:align>
            </wp:positionH>
            <wp:positionV relativeFrom="paragraph">
              <wp:posOffset>-761365</wp:posOffset>
            </wp:positionV>
            <wp:extent cx="2738015" cy="10039386"/>
            <wp:effectExtent l="0" t="0" r="0" b="0"/>
            <wp:wrapNone/>
            <wp:docPr id="4" name="Picture 4" title="Cov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D0185 HHS Leg word cov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38015" cy="10039386"/>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6480" w:type="dxa"/>
        <w:tblInd w:w="396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Caption w:val=" Reducing Vaccine Preventable Disease in Texas"/>
        <w:tblDescription w:val=" Reducing Vaccine Preventable Disease in Texas: Strategies to Increase Vaccine Coverage Levels"/>
      </w:tblPr>
      <w:tblGrid>
        <w:gridCol w:w="6480"/>
      </w:tblGrid>
      <w:tr w:rsidR="0061353F" w14:paraId="5141C221" w14:textId="77777777" w:rsidTr="5DDCF1D8">
        <w:trPr>
          <w:cantSplit/>
          <w:trHeight w:hRule="exact" w:val="5592"/>
          <w:tblHeader/>
        </w:trPr>
        <w:tc>
          <w:tcPr>
            <w:tcW w:w="6480" w:type="dxa"/>
            <w:tcBorders>
              <w:bottom w:val="single" w:sz="48" w:space="0" w:color="BBBEBE" w:themeColor="background2" w:themeShade="E5"/>
            </w:tcBorders>
            <w:vAlign w:val="bottom"/>
          </w:tcPr>
          <w:p w14:paraId="4FA51660" w14:textId="77777777" w:rsidR="0061353F" w:rsidRPr="008106C1" w:rsidRDefault="5DDCF1D8" w:rsidP="00A2573A">
            <w:pPr>
              <w:pStyle w:val="Title"/>
            </w:pPr>
            <w:r>
              <w:t>Reducing Vaccine-Preventable Disease in Texas: Strategies to Increase Vaccine Coverage Levels</w:t>
            </w:r>
          </w:p>
          <w:p w14:paraId="0B58304D" w14:textId="77777777" w:rsidR="0061353F" w:rsidRDefault="0061353F" w:rsidP="00A2573A"/>
        </w:tc>
      </w:tr>
      <w:tr w:rsidR="0061353F" w14:paraId="2406EED0" w14:textId="77777777" w:rsidTr="5DDCF1D8">
        <w:trPr>
          <w:cantSplit/>
          <w:trHeight w:hRule="exact" w:val="3840"/>
        </w:trPr>
        <w:tc>
          <w:tcPr>
            <w:tcW w:w="6480" w:type="dxa"/>
            <w:tcBorders>
              <w:top w:val="single" w:sz="48" w:space="0" w:color="BBBEBE" w:themeColor="background2" w:themeShade="E5"/>
            </w:tcBorders>
            <w:tcMar>
              <w:top w:w="480" w:type="dxa"/>
            </w:tcMar>
          </w:tcPr>
          <w:p w14:paraId="62C142C1" w14:textId="77777777" w:rsidR="0061353F" w:rsidRDefault="006574EA" w:rsidP="00901E4C">
            <w:pPr>
              <w:pStyle w:val="Subtitle"/>
            </w:pPr>
            <w:r>
              <w:t>As Required By</w:t>
            </w:r>
          </w:p>
          <w:p w14:paraId="2B2ACCFE" w14:textId="77777777" w:rsidR="00B55F87" w:rsidRDefault="006574EA" w:rsidP="006574EA">
            <w:pPr>
              <w:pStyle w:val="Subtitle"/>
              <w:ind w:right="-18"/>
            </w:pPr>
            <w:r>
              <w:t xml:space="preserve">Texas Health and Safety Code, </w:t>
            </w:r>
            <w:r w:rsidR="00640753">
              <w:t xml:space="preserve">Sections 161.0074 </w:t>
            </w:r>
            <w:r w:rsidR="00024FE8">
              <w:br/>
            </w:r>
            <w:r>
              <w:t>and 161.00706</w:t>
            </w:r>
            <w:r w:rsidR="5DDCF1D8">
              <w:t xml:space="preserve"> </w:t>
            </w:r>
            <w:r w:rsidR="00024FE8">
              <w:br/>
            </w:r>
          </w:p>
        </w:tc>
      </w:tr>
      <w:tr w:rsidR="0061353F" w14:paraId="77F41EA5" w14:textId="77777777" w:rsidTr="5DDCF1D8">
        <w:trPr>
          <w:cantSplit/>
          <w:trHeight w:hRule="exact" w:val="2880"/>
        </w:trPr>
        <w:tc>
          <w:tcPr>
            <w:tcW w:w="6480" w:type="dxa"/>
            <w:vAlign w:val="bottom"/>
          </w:tcPr>
          <w:p w14:paraId="3904606E" w14:textId="77777777" w:rsidR="0061353F" w:rsidRDefault="5DDCF1D8" w:rsidP="000D6C64">
            <w:pPr>
              <w:pStyle w:val="Subtitle"/>
            </w:pPr>
            <w:r>
              <w:t xml:space="preserve"> September 2018</w:t>
            </w:r>
          </w:p>
        </w:tc>
      </w:tr>
    </w:tbl>
    <w:p w14:paraId="6B48931B" w14:textId="77777777" w:rsidR="0061353F" w:rsidRPr="00CF2C1E" w:rsidRDefault="0061353F" w:rsidP="00A2573A"/>
    <w:p w14:paraId="5A4053B1" w14:textId="77777777" w:rsidR="0061353F" w:rsidRDefault="0061353F" w:rsidP="00A2573A">
      <w:pPr>
        <w:rPr>
          <w:rFonts w:cs="Arial"/>
        </w:rPr>
        <w:sectPr w:rsidR="0061353F" w:rsidSect="00A2573A">
          <w:footerReference w:type="default" r:id="rId13"/>
          <w:pgSz w:w="12240" w:h="15840" w:code="1"/>
          <w:pgMar w:top="1200" w:right="360" w:bottom="360" w:left="360" w:header="720" w:footer="720" w:gutter="0"/>
          <w:pgNumType w:fmt="lowerRoman" w:start="1"/>
          <w:cols w:space="720"/>
          <w:titlePg/>
        </w:sectPr>
      </w:pPr>
    </w:p>
    <w:sdt>
      <w:sdtPr>
        <w:rPr>
          <w:rFonts w:asciiTheme="minorHAnsi" w:eastAsiaTheme="minorHAnsi" w:hAnsiTheme="minorHAnsi" w:cstheme="minorBidi"/>
          <w:b w:val="0"/>
          <w:sz w:val="22"/>
          <w:szCs w:val="20"/>
        </w:rPr>
        <w:id w:val="902095665"/>
        <w:docPartObj>
          <w:docPartGallery w:val="Table of Contents"/>
          <w:docPartUnique/>
        </w:docPartObj>
      </w:sdtPr>
      <w:sdtEndPr>
        <w:rPr>
          <w:noProof/>
          <w:color w:val="000000"/>
          <w:lang w:eastAsia="ja-JP"/>
        </w:rPr>
      </w:sdtEndPr>
      <w:sdtContent>
        <w:p w14:paraId="70D781E4" w14:textId="77777777" w:rsidR="008F3CA8" w:rsidRDefault="5DDCF1D8" w:rsidP="008F3CA8">
          <w:pPr>
            <w:pStyle w:val="TOCHeading"/>
          </w:pPr>
          <w:r>
            <w:t>Table of Contents</w:t>
          </w:r>
        </w:p>
        <w:p w14:paraId="18CEFC1E" w14:textId="66744DA6" w:rsidR="007A2843" w:rsidRDefault="008F3CA8">
          <w:pPr>
            <w:pStyle w:val="TOC1"/>
            <w:rPr>
              <w:rFonts w:eastAsiaTheme="minorEastAsia" w:cstheme="minorBidi"/>
              <w:b w:val="0"/>
              <w:color w:val="auto"/>
              <w:szCs w:val="22"/>
              <w:lang w:eastAsia="en-US"/>
            </w:rPr>
          </w:pPr>
          <w:r>
            <w:fldChar w:fldCharType="begin"/>
          </w:r>
          <w:r>
            <w:instrText xml:space="preserve"> TOC \o "2-2" \h \z \t "Heading 1,1,Heading 1 for Lists,1,Appendix Heading,1,Heading 1-No Numbering,1" </w:instrText>
          </w:r>
          <w:r>
            <w:fldChar w:fldCharType="separate"/>
          </w:r>
          <w:hyperlink w:anchor="_Toc522706948" w:history="1">
            <w:r w:rsidR="007A2843" w:rsidRPr="00084873">
              <w:rPr>
                <w:rStyle w:val="Hyperlink"/>
              </w:rPr>
              <w:t>Executive Summary</w:t>
            </w:r>
            <w:r w:rsidR="007A2843">
              <w:rPr>
                <w:webHidden/>
              </w:rPr>
              <w:tab/>
            </w:r>
            <w:r w:rsidR="007A2843">
              <w:rPr>
                <w:webHidden/>
              </w:rPr>
              <w:fldChar w:fldCharType="begin"/>
            </w:r>
            <w:r w:rsidR="007A2843">
              <w:rPr>
                <w:webHidden/>
              </w:rPr>
              <w:instrText xml:space="preserve"> PAGEREF _Toc522706948 \h </w:instrText>
            </w:r>
            <w:r w:rsidR="007A2843">
              <w:rPr>
                <w:webHidden/>
              </w:rPr>
            </w:r>
            <w:r w:rsidR="007A2843">
              <w:rPr>
                <w:webHidden/>
              </w:rPr>
              <w:fldChar w:fldCharType="separate"/>
            </w:r>
            <w:r w:rsidR="007A2843">
              <w:rPr>
                <w:webHidden/>
              </w:rPr>
              <w:t>1</w:t>
            </w:r>
            <w:r w:rsidR="007A2843">
              <w:rPr>
                <w:webHidden/>
              </w:rPr>
              <w:fldChar w:fldCharType="end"/>
            </w:r>
          </w:hyperlink>
        </w:p>
        <w:p w14:paraId="57AABD79" w14:textId="515E2262" w:rsidR="007A2843" w:rsidRDefault="00611CCA">
          <w:pPr>
            <w:pStyle w:val="TOC1"/>
            <w:rPr>
              <w:rFonts w:eastAsiaTheme="minorEastAsia" w:cstheme="minorBidi"/>
              <w:b w:val="0"/>
              <w:color w:val="auto"/>
              <w:szCs w:val="22"/>
              <w:lang w:eastAsia="en-US"/>
            </w:rPr>
          </w:pPr>
          <w:hyperlink w:anchor="_Toc522706949" w:history="1">
            <w:r w:rsidR="007A2843" w:rsidRPr="00084873">
              <w:rPr>
                <w:rStyle w:val="Hyperlink"/>
              </w:rPr>
              <w:t>1.</w:t>
            </w:r>
            <w:r w:rsidR="007A2843">
              <w:rPr>
                <w:rFonts w:eastAsiaTheme="minorEastAsia" w:cstheme="minorBidi"/>
                <w:b w:val="0"/>
                <w:color w:val="auto"/>
                <w:szCs w:val="22"/>
                <w:lang w:eastAsia="en-US"/>
              </w:rPr>
              <w:tab/>
            </w:r>
            <w:r w:rsidR="007A2843" w:rsidRPr="00084873">
              <w:rPr>
                <w:rStyle w:val="Hyperlink"/>
              </w:rPr>
              <w:t>Introduction</w:t>
            </w:r>
            <w:r w:rsidR="007A2843">
              <w:rPr>
                <w:webHidden/>
              </w:rPr>
              <w:tab/>
            </w:r>
            <w:r w:rsidR="007A2843">
              <w:rPr>
                <w:webHidden/>
              </w:rPr>
              <w:fldChar w:fldCharType="begin"/>
            </w:r>
            <w:r w:rsidR="007A2843">
              <w:rPr>
                <w:webHidden/>
              </w:rPr>
              <w:instrText xml:space="preserve"> PAGEREF _Toc522706949 \h </w:instrText>
            </w:r>
            <w:r w:rsidR="007A2843">
              <w:rPr>
                <w:webHidden/>
              </w:rPr>
            </w:r>
            <w:r w:rsidR="007A2843">
              <w:rPr>
                <w:webHidden/>
              </w:rPr>
              <w:fldChar w:fldCharType="separate"/>
            </w:r>
            <w:r w:rsidR="007A2843">
              <w:rPr>
                <w:webHidden/>
              </w:rPr>
              <w:t>1</w:t>
            </w:r>
            <w:r w:rsidR="007A2843">
              <w:rPr>
                <w:webHidden/>
              </w:rPr>
              <w:fldChar w:fldCharType="end"/>
            </w:r>
          </w:hyperlink>
        </w:p>
        <w:p w14:paraId="4C33BC19" w14:textId="122F548C" w:rsidR="007A2843" w:rsidRDefault="00611CCA">
          <w:pPr>
            <w:pStyle w:val="TOC1"/>
            <w:rPr>
              <w:rFonts w:eastAsiaTheme="minorEastAsia" w:cstheme="minorBidi"/>
              <w:b w:val="0"/>
              <w:color w:val="auto"/>
              <w:szCs w:val="22"/>
              <w:lang w:eastAsia="en-US"/>
            </w:rPr>
          </w:pPr>
          <w:hyperlink w:anchor="_Toc522706950" w:history="1">
            <w:r w:rsidR="007A2843" w:rsidRPr="00084873">
              <w:rPr>
                <w:rStyle w:val="Hyperlink"/>
              </w:rPr>
              <w:t>2.</w:t>
            </w:r>
            <w:r w:rsidR="007A2843">
              <w:rPr>
                <w:rFonts w:eastAsiaTheme="minorEastAsia" w:cstheme="minorBidi"/>
                <w:b w:val="0"/>
                <w:color w:val="auto"/>
                <w:szCs w:val="22"/>
                <w:lang w:eastAsia="en-US"/>
              </w:rPr>
              <w:tab/>
            </w:r>
            <w:r w:rsidR="007A2843" w:rsidRPr="00084873">
              <w:rPr>
                <w:rStyle w:val="Hyperlink"/>
              </w:rPr>
              <w:t>Background</w:t>
            </w:r>
            <w:r w:rsidR="007A2843">
              <w:rPr>
                <w:webHidden/>
              </w:rPr>
              <w:tab/>
            </w:r>
            <w:r w:rsidR="007A2843">
              <w:rPr>
                <w:webHidden/>
              </w:rPr>
              <w:fldChar w:fldCharType="begin"/>
            </w:r>
            <w:r w:rsidR="007A2843">
              <w:rPr>
                <w:webHidden/>
              </w:rPr>
              <w:instrText xml:space="preserve"> PAGEREF _Toc522706950 \h </w:instrText>
            </w:r>
            <w:r w:rsidR="007A2843">
              <w:rPr>
                <w:webHidden/>
              </w:rPr>
            </w:r>
            <w:r w:rsidR="007A2843">
              <w:rPr>
                <w:webHidden/>
              </w:rPr>
              <w:fldChar w:fldCharType="separate"/>
            </w:r>
            <w:r w:rsidR="007A2843">
              <w:rPr>
                <w:webHidden/>
              </w:rPr>
              <w:t>2</w:t>
            </w:r>
            <w:r w:rsidR="007A2843">
              <w:rPr>
                <w:webHidden/>
              </w:rPr>
              <w:fldChar w:fldCharType="end"/>
            </w:r>
          </w:hyperlink>
        </w:p>
        <w:p w14:paraId="77C3EF8F" w14:textId="77FB3F49" w:rsidR="007A2843" w:rsidRDefault="00611CCA">
          <w:pPr>
            <w:pStyle w:val="TOC1"/>
            <w:rPr>
              <w:rFonts w:eastAsiaTheme="minorEastAsia" w:cstheme="minorBidi"/>
              <w:b w:val="0"/>
              <w:color w:val="auto"/>
              <w:szCs w:val="22"/>
              <w:lang w:eastAsia="en-US"/>
            </w:rPr>
          </w:pPr>
          <w:hyperlink w:anchor="_Toc522706951" w:history="1">
            <w:r w:rsidR="007A2843" w:rsidRPr="00084873">
              <w:rPr>
                <w:rStyle w:val="Hyperlink"/>
              </w:rPr>
              <w:t>3.</w:t>
            </w:r>
            <w:r w:rsidR="007A2843">
              <w:rPr>
                <w:rFonts w:eastAsiaTheme="minorEastAsia" w:cstheme="minorBidi"/>
                <w:b w:val="0"/>
                <w:color w:val="auto"/>
                <w:szCs w:val="22"/>
                <w:lang w:eastAsia="en-US"/>
              </w:rPr>
              <w:tab/>
            </w:r>
            <w:r w:rsidR="007A2843" w:rsidRPr="00084873">
              <w:rPr>
                <w:rStyle w:val="Hyperlink"/>
              </w:rPr>
              <w:t>Immunization Coverage Rates</w:t>
            </w:r>
            <w:r w:rsidR="007A2843">
              <w:rPr>
                <w:webHidden/>
              </w:rPr>
              <w:tab/>
            </w:r>
            <w:r w:rsidR="007A2843">
              <w:rPr>
                <w:webHidden/>
              </w:rPr>
              <w:fldChar w:fldCharType="begin"/>
            </w:r>
            <w:r w:rsidR="007A2843">
              <w:rPr>
                <w:webHidden/>
              </w:rPr>
              <w:instrText xml:space="preserve"> PAGEREF _Toc522706951 \h </w:instrText>
            </w:r>
            <w:r w:rsidR="007A2843">
              <w:rPr>
                <w:webHidden/>
              </w:rPr>
            </w:r>
            <w:r w:rsidR="007A2843">
              <w:rPr>
                <w:webHidden/>
              </w:rPr>
              <w:fldChar w:fldCharType="separate"/>
            </w:r>
            <w:r w:rsidR="007A2843">
              <w:rPr>
                <w:webHidden/>
              </w:rPr>
              <w:t>4</w:t>
            </w:r>
            <w:r w:rsidR="007A2843">
              <w:rPr>
                <w:webHidden/>
              </w:rPr>
              <w:fldChar w:fldCharType="end"/>
            </w:r>
          </w:hyperlink>
        </w:p>
        <w:p w14:paraId="32CA310B" w14:textId="1D4E357C" w:rsidR="007A2843" w:rsidRDefault="00611CCA">
          <w:pPr>
            <w:pStyle w:val="TOC2"/>
            <w:rPr>
              <w:rFonts w:eastAsiaTheme="minorEastAsia" w:cstheme="minorBidi"/>
              <w:color w:val="auto"/>
              <w:szCs w:val="22"/>
              <w:lang w:eastAsia="en-US"/>
            </w:rPr>
          </w:pPr>
          <w:hyperlink w:anchor="_Toc522706952" w:history="1">
            <w:r w:rsidR="007A2843" w:rsidRPr="00084873">
              <w:rPr>
                <w:rStyle w:val="Hyperlink"/>
              </w:rPr>
              <w:t>National Immunization Survey-Child</w:t>
            </w:r>
            <w:r w:rsidR="007A2843">
              <w:rPr>
                <w:webHidden/>
              </w:rPr>
              <w:tab/>
            </w:r>
            <w:r w:rsidR="007A2843">
              <w:rPr>
                <w:webHidden/>
              </w:rPr>
              <w:fldChar w:fldCharType="begin"/>
            </w:r>
            <w:r w:rsidR="007A2843">
              <w:rPr>
                <w:webHidden/>
              </w:rPr>
              <w:instrText xml:space="preserve"> PAGEREF _Toc522706952 \h </w:instrText>
            </w:r>
            <w:r w:rsidR="007A2843">
              <w:rPr>
                <w:webHidden/>
              </w:rPr>
            </w:r>
            <w:r w:rsidR="007A2843">
              <w:rPr>
                <w:webHidden/>
              </w:rPr>
              <w:fldChar w:fldCharType="separate"/>
            </w:r>
            <w:r w:rsidR="007A2843">
              <w:rPr>
                <w:webHidden/>
              </w:rPr>
              <w:t>4</w:t>
            </w:r>
            <w:r w:rsidR="007A2843">
              <w:rPr>
                <w:webHidden/>
              </w:rPr>
              <w:fldChar w:fldCharType="end"/>
            </w:r>
          </w:hyperlink>
        </w:p>
        <w:p w14:paraId="11C842A6" w14:textId="0046F182" w:rsidR="007A2843" w:rsidRDefault="00611CCA">
          <w:pPr>
            <w:pStyle w:val="TOC2"/>
            <w:rPr>
              <w:rFonts w:eastAsiaTheme="minorEastAsia" w:cstheme="minorBidi"/>
              <w:color w:val="auto"/>
              <w:szCs w:val="22"/>
              <w:lang w:eastAsia="en-US"/>
            </w:rPr>
          </w:pPr>
          <w:hyperlink w:anchor="_Toc522706953" w:history="1">
            <w:r w:rsidR="007A2843" w:rsidRPr="00084873">
              <w:rPr>
                <w:rStyle w:val="Hyperlink"/>
              </w:rPr>
              <w:t>National Immunization Survey-Teen</w:t>
            </w:r>
            <w:r w:rsidR="007A2843">
              <w:rPr>
                <w:webHidden/>
              </w:rPr>
              <w:tab/>
            </w:r>
            <w:r w:rsidR="007A2843">
              <w:rPr>
                <w:webHidden/>
              </w:rPr>
              <w:fldChar w:fldCharType="begin"/>
            </w:r>
            <w:r w:rsidR="007A2843">
              <w:rPr>
                <w:webHidden/>
              </w:rPr>
              <w:instrText xml:space="preserve"> PAGEREF _Toc522706953 \h </w:instrText>
            </w:r>
            <w:r w:rsidR="007A2843">
              <w:rPr>
                <w:webHidden/>
              </w:rPr>
            </w:r>
            <w:r w:rsidR="007A2843">
              <w:rPr>
                <w:webHidden/>
              </w:rPr>
              <w:fldChar w:fldCharType="separate"/>
            </w:r>
            <w:r w:rsidR="007A2843">
              <w:rPr>
                <w:webHidden/>
              </w:rPr>
              <w:t>6</w:t>
            </w:r>
            <w:r w:rsidR="007A2843">
              <w:rPr>
                <w:webHidden/>
              </w:rPr>
              <w:fldChar w:fldCharType="end"/>
            </w:r>
          </w:hyperlink>
        </w:p>
        <w:p w14:paraId="4AB19101" w14:textId="53240EA7" w:rsidR="007A2843" w:rsidRDefault="00611CCA">
          <w:pPr>
            <w:pStyle w:val="TOC1"/>
            <w:rPr>
              <w:rFonts w:eastAsiaTheme="minorEastAsia" w:cstheme="minorBidi"/>
              <w:b w:val="0"/>
              <w:color w:val="auto"/>
              <w:szCs w:val="22"/>
              <w:lang w:eastAsia="en-US"/>
            </w:rPr>
          </w:pPr>
          <w:hyperlink w:anchor="_Toc522706954" w:history="1">
            <w:r w:rsidR="007A2843" w:rsidRPr="00084873">
              <w:rPr>
                <w:rStyle w:val="Hyperlink"/>
              </w:rPr>
              <w:t>4.</w:t>
            </w:r>
            <w:r w:rsidR="007A2843">
              <w:rPr>
                <w:rFonts w:eastAsiaTheme="minorEastAsia" w:cstheme="minorBidi"/>
                <w:b w:val="0"/>
                <w:color w:val="auto"/>
                <w:szCs w:val="22"/>
                <w:lang w:eastAsia="en-US"/>
              </w:rPr>
              <w:tab/>
            </w:r>
            <w:r w:rsidR="007A2843" w:rsidRPr="00084873">
              <w:rPr>
                <w:rStyle w:val="Hyperlink"/>
              </w:rPr>
              <w:t>Approaches to Increase Immunization Rates</w:t>
            </w:r>
            <w:r w:rsidR="007A2843">
              <w:rPr>
                <w:webHidden/>
              </w:rPr>
              <w:tab/>
            </w:r>
            <w:r w:rsidR="007A2843">
              <w:rPr>
                <w:webHidden/>
              </w:rPr>
              <w:fldChar w:fldCharType="begin"/>
            </w:r>
            <w:r w:rsidR="007A2843">
              <w:rPr>
                <w:webHidden/>
              </w:rPr>
              <w:instrText xml:space="preserve"> PAGEREF _Toc522706954 \h </w:instrText>
            </w:r>
            <w:r w:rsidR="007A2843">
              <w:rPr>
                <w:webHidden/>
              </w:rPr>
            </w:r>
            <w:r w:rsidR="007A2843">
              <w:rPr>
                <w:webHidden/>
              </w:rPr>
              <w:fldChar w:fldCharType="separate"/>
            </w:r>
            <w:r w:rsidR="007A2843">
              <w:rPr>
                <w:webHidden/>
              </w:rPr>
              <w:t>9</w:t>
            </w:r>
            <w:r w:rsidR="007A2843">
              <w:rPr>
                <w:webHidden/>
              </w:rPr>
              <w:fldChar w:fldCharType="end"/>
            </w:r>
          </w:hyperlink>
        </w:p>
        <w:p w14:paraId="19149DC5" w14:textId="446DEACD" w:rsidR="007A2843" w:rsidRDefault="00611CCA">
          <w:pPr>
            <w:pStyle w:val="TOC2"/>
            <w:rPr>
              <w:rFonts w:eastAsiaTheme="minorEastAsia" w:cstheme="minorBidi"/>
              <w:color w:val="auto"/>
              <w:szCs w:val="22"/>
              <w:lang w:eastAsia="en-US"/>
            </w:rPr>
          </w:pPr>
          <w:hyperlink w:anchor="_Toc522706955" w:history="1">
            <w:r w:rsidR="007A2843" w:rsidRPr="00084873">
              <w:rPr>
                <w:rStyle w:val="Hyperlink"/>
              </w:rPr>
              <w:t>Vaccine Safety Net</w:t>
            </w:r>
            <w:r w:rsidR="007A2843">
              <w:rPr>
                <w:webHidden/>
              </w:rPr>
              <w:tab/>
            </w:r>
            <w:r w:rsidR="007A2843">
              <w:rPr>
                <w:webHidden/>
              </w:rPr>
              <w:fldChar w:fldCharType="begin"/>
            </w:r>
            <w:r w:rsidR="007A2843">
              <w:rPr>
                <w:webHidden/>
              </w:rPr>
              <w:instrText xml:space="preserve"> PAGEREF _Toc522706955 \h </w:instrText>
            </w:r>
            <w:r w:rsidR="007A2843">
              <w:rPr>
                <w:webHidden/>
              </w:rPr>
            </w:r>
            <w:r w:rsidR="007A2843">
              <w:rPr>
                <w:webHidden/>
              </w:rPr>
              <w:fldChar w:fldCharType="separate"/>
            </w:r>
            <w:r w:rsidR="007A2843">
              <w:rPr>
                <w:webHidden/>
              </w:rPr>
              <w:t>9</w:t>
            </w:r>
            <w:r w:rsidR="007A2843">
              <w:rPr>
                <w:webHidden/>
              </w:rPr>
              <w:fldChar w:fldCharType="end"/>
            </w:r>
          </w:hyperlink>
        </w:p>
        <w:p w14:paraId="46F55034" w14:textId="29889481" w:rsidR="007A2843" w:rsidRDefault="00611CCA">
          <w:pPr>
            <w:pStyle w:val="TOC2"/>
            <w:rPr>
              <w:rFonts w:eastAsiaTheme="minorEastAsia" w:cstheme="minorBidi"/>
              <w:color w:val="auto"/>
              <w:szCs w:val="22"/>
              <w:lang w:eastAsia="en-US"/>
            </w:rPr>
          </w:pPr>
          <w:hyperlink w:anchor="_Toc522706956" w:history="1">
            <w:r w:rsidR="007A2843" w:rsidRPr="00084873">
              <w:rPr>
                <w:rStyle w:val="Hyperlink"/>
              </w:rPr>
              <w:t>Quality Improvement</w:t>
            </w:r>
            <w:r w:rsidR="007A2843">
              <w:rPr>
                <w:webHidden/>
              </w:rPr>
              <w:tab/>
            </w:r>
            <w:r w:rsidR="007A2843">
              <w:rPr>
                <w:webHidden/>
              </w:rPr>
              <w:fldChar w:fldCharType="begin"/>
            </w:r>
            <w:r w:rsidR="007A2843">
              <w:rPr>
                <w:webHidden/>
              </w:rPr>
              <w:instrText xml:space="preserve"> PAGEREF _Toc522706956 \h </w:instrText>
            </w:r>
            <w:r w:rsidR="007A2843">
              <w:rPr>
                <w:webHidden/>
              </w:rPr>
            </w:r>
            <w:r w:rsidR="007A2843">
              <w:rPr>
                <w:webHidden/>
              </w:rPr>
              <w:fldChar w:fldCharType="separate"/>
            </w:r>
            <w:r w:rsidR="007A2843">
              <w:rPr>
                <w:webHidden/>
              </w:rPr>
              <w:t>9</w:t>
            </w:r>
            <w:r w:rsidR="007A2843">
              <w:rPr>
                <w:webHidden/>
              </w:rPr>
              <w:fldChar w:fldCharType="end"/>
            </w:r>
          </w:hyperlink>
        </w:p>
        <w:p w14:paraId="4C12B93A" w14:textId="115C4D89" w:rsidR="007A2843" w:rsidRDefault="00611CCA">
          <w:pPr>
            <w:pStyle w:val="TOC2"/>
            <w:rPr>
              <w:rFonts w:eastAsiaTheme="minorEastAsia" w:cstheme="minorBidi"/>
              <w:color w:val="auto"/>
              <w:szCs w:val="22"/>
              <w:lang w:eastAsia="en-US"/>
            </w:rPr>
          </w:pPr>
          <w:hyperlink w:anchor="_Toc522706957" w:history="1">
            <w:r w:rsidR="007A2843" w:rsidRPr="00084873">
              <w:rPr>
                <w:rStyle w:val="Hyperlink"/>
              </w:rPr>
              <w:t>Educational Outreach</w:t>
            </w:r>
            <w:r w:rsidR="007A2843">
              <w:rPr>
                <w:webHidden/>
              </w:rPr>
              <w:tab/>
            </w:r>
            <w:r w:rsidR="007A2843">
              <w:rPr>
                <w:webHidden/>
              </w:rPr>
              <w:fldChar w:fldCharType="begin"/>
            </w:r>
            <w:r w:rsidR="007A2843">
              <w:rPr>
                <w:webHidden/>
              </w:rPr>
              <w:instrText xml:space="preserve"> PAGEREF _Toc522706957 \h </w:instrText>
            </w:r>
            <w:r w:rsidR="007A2843">
              <w:rPr>
                <w:webHidden/>
              </w:rPr>
            </w:r>
            <w:r w:rsidR="007A2843">
              <w:rPr>
                <w:webHidden/>
              </w:rPr>
              <w:fldChar w:fldCharType="separate"/>
            </w:r>
            <w:r w:rsidR="007A2843">
              <w:rPr>
                <w:webHidden/>
              </w:rPr>
              <w:t>10</w:t>
            </w:r>
            <w:r w:rsidR="007A2843">
              <w:rPr>
                <w:webHidden/>
              </w:rPr>
              <w:fldChar w:fldCharType="end"/>
            </w:r>
          </w:hyperlink>
        </w:p>
        <w:p w14:paraId="0558B3DA" w14:textId="548C3675" w:rsidR="007A2843" w:rsidRDefault="00611CCA">
          <w:pPr>
            <w:pStyle w:val="TOC2"/>
            <w:rPr>
              <w:rFonts w:eastAsiaTheme="minorEastAsia" w:cstheme="minorBidi"/>
              <w:color w:val="auto"/>
              <w:szCs w:val="22"/>
              <w:lang w:eastAsia="en-US"/>
            </w:rPr>
          </w:pPr>
          <w:hyperlink w:anchor="_Toc522706958" w:history="1">
            <w:r w:rsidR="007A2843" w:rsidRPr="00084873">
              <w:rPr>
                <w:rStyle w:val="Hyperlink"/>
              </w:rPr>
              <w:t>Stakeholder Engagement</w:t>
            </w:r>
            <w:r w:rsidR="007A2843">
              <w:rPr>
                <w:webHidden/>
              </w:rPr>
              <w:tab/>
            </w:r>
            <w:r w:rsidR="007A2843">
              <w:rPr>
                <w:webHidden/>
              </w:rPr>
              <w:fldChar w:fldCharType="begin"/>
            </w:r>
            <w:r w:rsidR="007A2843">
              <w:rPr>
                <w:webHidden/>
              </w:rPr>
              <w:instrText xml:space="preserve"> PAGEREF _Toc522706958 \h </w:instrText>
            </w:r>
            <w:r w:rsidR="007A2843">
              <w:rPr>
                <w:webHidden/>
              </w:rPr>
            </w:r>
            <w:r w:rsidR="007A2843">
              <w:rPr>
                <w:webHidden/>
              </w:rPr>
              <w:fldChar w:fldCharType="separate"/>
            </w:r>
            <w:r w:rsidR="007A2843">
              <w:rPr>
                <w:webHidden/>
              </w:rPr>
              <w:t>11</w:t>
            </w:r>
            <w:r w:rsidR="007A2843">
              <w:rPr>
                <w:webHidden/>
              </w:rPr>
              <w:fldChar w:fldCharType="end"/>
            </w:r>
          </w:hyperlink>
        </w:p>
        <w:p w14:paraId="36F85424" w14:textId="1D0857C9" w:rsidR="007A2843" w:rsidRDefault="00611CCA">
          <w:pPr>
            <w:pStyle w:val="TOC1"/>
            <w:rPr>
              <w:rFonts w:eastAsiaTheme="minorEastAsia" w:cstheme="minorBidi"/>
              <w:b w:val="0"/>
              <w:color w:val="auto"/>
              <w:szCs w:val="22"/>
              <w:lang w:eastAsia="en-US"/>
            </w:rPr>
          </w:pPr>
          <w:hyperlink w:anchor="_Toc522706959" w:history="1">
            <w:r w:rsidR="007A2843" w:rsidRPr="00084873">
              <w:rPr>
                <w:rStyle w:val="Hyperlink"/>
              </w:rPr>
              <w:t>5.</w:t>
            </w:r>
            <w:r w:rsidR="007A2843">
              <w:rPr>
                <w:rFonts w:eastAsiaTheme="minorEastAsia" w:cstheme="minorBidi"/>
                <w:b w:val="0"/>
                <w:color w:val="auto"/>
                <w:szCs w:val="22"/>
                <w:lang w:eastAsia="en-US"/>
              </w:rPr>
              <w:tab/>
            </w:r>
            <w:r w:rsidR="007A2843" w:rsidRPr="00084873">
              <w:rPr>
                <w:rStyle w:val="Hyperlink"/>
              </w:rPr>
              <w:t>Contracts with Local Health Departments</w:t>
            </w:r>
            <w:r w:rsidR="007A2843">
              <w:rPr>
                <w:webHidden/>
              </w:rPr>
              <w:tab/>
            </w:r>
            <w:r w:rsidR="007A2843">
              <w:rPr>
                <w:webHidden/>
              </w:rPr>
              <w:fldChar w:fldCharType="begin"/>
            </w:r>
            <w:r w:rsidR="007A2843">
              <w:rPr>
                <w:webHidden/>
              </w:rPr>
              <w:instrText xml:space="preserve"> PAGEREF _Toc522706959 \h </w:instrText>
            </w:r>
            <w:r w:rsidR="007A2843">
              <w:rPr>
                <w:webHidden/>
              </w:rPr>
            </w:r>
            <w:r w:rsidR="007A2843">
              <w:rPr>
                <w:webHidden/>
              </w:rPr>
              <w:fldChar w:fldCharType="separate"/>
            </w:r>
            <w:r w:rsidR="007A2843">
              <w:rPr>
                <w:webHidden/>
              </w:rPr>
              <w:t>12</w:t>
            </w:r>
            <w:r w:rsidR="007A2843">
              <w:rPr>
                <w:webHidden/>
              </w:rPr>
              <w:fldChar w:fldCharType="end"/>
            </w:r>
          </w:hyperlink>
        </w:p>
        <w:p w14:paraId="6FC0A76A" w14:textId="4B2DA3FF" w:rsidR="007A2843" w:rsidRDefault="00611CCA">
          <w:pPr>
            <w:pStyle w:val="TOC1"/>
            <w:rPr>
              <w:rFonts w:eastAsiaTheme="minorEastAsia" w:cstheme="minorBidi"/>
              <w:b w:val="0"/>
              <w:color w:val="auto"/>
              <w:szCs w:val="22"/>
              <w:lang w:eastAsia="en-US"/>
            </w:rPr>
          </w:pPr>
          <w:hyperlink w:anchor="_Toc522706960" w:history="1">
            <w:r w:rsidR="007A2843" w:rsidRPr="00084873">
              <w:rPr>
                <w:rStyle w:val="Hyperlink"/>
              </w:rPr>
              <w:t>6.</w:t>
            </w:r>
            <w:r w:rsidR="007A2843">
              <w:rPr>
                <w:rFonts w:eastAsiaTheme="minorEastAsia" w:cstheme="minorBidi"/>
                <w:b w:val="0"/>
                <w:color w:val="auto"/>
                <w:szCs w:val="22"/>
                <w:lang w:eastAsia="en-US"/>
              </w:rPr>
              <w:tab/>
            </w:r>
            <w:r w:rsidR="007A2843" w:rsidRPr="00084873">
              <w:rPr>
                <w:rStyle w:val="Hyperlink"/>
              </w:rPr>
              <w:t>Addressing the Needs of Underserved Areas</w:t>
            </w:r>
            <w:r w:rsidR="007A2843">
              <w:rPr>
                <w:webHidden/>
              </w:rPr>
              <w:tab/>
            </w:r>
            <w:r w:rsidR="007A2843">
              <w:rPr>
                <w:webHidden/>
              </w:rPr>
              <w:fldChar w:fldCharType="begin"/>
            </w:r>
            <w:r w:rsidR="007A2843">
              <w:rPr>
                <w:webHidden/>
              </w:rPr>
              <w:instrText xml:space="preserve"> PAGEREF _Toc522706960 \h </w:instrText>
            </w:r>
            <w:r w:rsidR="007A2843">
              <w:rPr>
                <w:webHidden/>
              </w:rPr>
            </w:r>
            <w:r w:rsidR="007A2843">
              <w:rPr>
                <w:webHidden/>
              </w:rPr>
              <w:fldChar w:fldCharType="separate"/>
            </w:r>
            <w:r w:rsidR="007A2843">
              <w:rPr>
                <w:webHidden/>
              </w:rPr>
              <w:t>14</w:t>
            </w:r>
            <w:r w:rsidR="007A2843">
              <w:rPr>
                <w:webHidden/>
              </w:rPr>
              <w:fldChar w:fldCharType="end"/>
            </w:r>
          </w:hyperlink>
        </w:p>
        <w:p w14:paraId="4CE39281" w14:textId="02AB521E" w:rsidR="007A2843" w:rsidRDefault="00611CCA">
          <w:pPr>
            <w:pStyle w:val="TOC1"/>
            <w:rPr>
              <w:rFonts w:eastAsiaTheme="minorEastAsia" w:cstheme="minorBidi"/>
              <w:b w:val="0"/>
              <w:color w:val="auto"/>
              <w:szCs w:val="22"/>
              <w:lang w:eastAsia="en-US"/>
            </w:rPr>
          </w:pPr>
          <w:hyperlink w:anchor="_Toc522706961" w:history="1">
            <w:r w:rsidR="007A2843" w:rsidRPr="00084873">
              <w:rPr>
                <w:rStyle w:val="Hyperlink"/>
              </w:rPr>
              <w:t>7.</w:t>
            </w:r>
            <w:r w:rsidR="007A2843">
              <w:rPr>
                <w:rFonts w:eastAsiaTheme="minorEastAsia" w:cstheme="minorBidi"/>
                <w:b w:val="0"/>
                <w:color w:val="auto"/>
                <w:szCs w:val="22"/>
                <w:lang w:eastAsia="en-US"/>
              </w:rPr>
              <w:tab/>
            </w:r>
            <w:r w:rsidR="007A2843" w:rsidRPr="00084873">
              <w:rPr>
                <w:rStyle w:val="Hyperlink"/>
              </w:rPr>
              <w:t>Conscientious Exemptions</w:t>
            </w:r>
            <w:r w:rsidR="007A2843">
              <w:rPr>
                <w:webHidden/>
              </w:rPr>
              <w:tab/>
            </w:r>
            <w:r w:rsidR="007A2843">
              <w:rPr>
                <w:webHidden/>
              </w:rPr>
              <w:fldChar w:fldCharType="begin"/>
            </w:r>
            <w:r w:rsidR="007A2843">
              <w:rPr>
                <w:webHidden/>
              </w:rPr>
              <w:instrText xml:space="preserve"> PAGEREF _Toc522706961 \h </w:instrText>
            </w:r>
            <w:r w:rsidR="007A2843">
              <w:rPr>
                <w:webHidden/>
              </w:rPr>
            </w:r>
            <w:r w:rsidR="007A2843">
              <w:rPr>
                <w:webHidden/>
              </w:rPr>
              <w:fldChar w:fldCharType="separate"/>
            </w:r>
            <w:r w:rsidR="007A2843">
              <w:rPr>
                <w:webHidden/>
              </w:rPr>
              <w:t>15</w:t>
            </w:r>
            <w:r w:rsidR="007A2843">
              <w:rPr>
                <w:webHidden/>
              </w:rPr>
              <w:fldChar w:fldCharType="end"/>
            </w:r>
          </w:hyperlink>
        </w:p>
        <w:p w14:paraId="51784896" w14:textId="10C1BF0E" w:rsidR="007A2843" w:rsidRDefault="00611CCA">
          <w:pPr>
            <w:pStyle w:val="TOC1"/>
            <w:rPr>
              <w:rFonts w:eastAsiaTheme="minorEastAsia" w:cstheme="minorBidi"/>
              <w:b w:val="0"/>
              <w:color w:val="auto"/>
              <w:szCs w:val="22"/>
              <w:lang w:eastAsia="en-US"/>
            </w:rPr>
          </w:pPr>
          <w:hyperlink w:anchor="_Toc522706962" w:history="1">
            <w:r w:rsidR="007A2843" w:rsidRPr="00084873">
              <w:rPr>
                <w:rStyle w:val="Hyperlink"/>
              </w:rPr>
              <w:t>8.</w:t>
            </w:r>
            <w:r w:rsidR="007A2843">
              <w:rPr>
                <w:rFonts w:eastAsiaTheme="minorEastAsia" w:cstheme="minorBidi"/>
                <w:b w:val="0"/>
                <w:color w:val="auto"/>
                <w:szCs w:val="22"/>
                <w:lang w:eastAsia="en-US"/>
              </w:rPr>
              <w:tab/>
            </w:r>
            <w:r w:rsidR="007A2843" w:rsidRPr="00084873">
              <w:rPr>
                <w:rStyle w:val="Hyperlink"/>
              </w:rPr>
              <w:t>ImmTrac2, the Texas Immunization Registry</w:t>
            </w:r>
            <w:r w:rsidR="007A2843">
              <w:rPr>
                <w:webHidden/>
              </w:rPr>
              <w:tab/>
            </w:r>
            <w:r w:rsidR="007A2843">
              <w:rPr>
                <w:webHidden/>
              </w:rPr>
              <w:fldChar w:fldCharType="begin"/>
            </w:r>
            <w:r w:rsidR="007A2843">
              <w:rPr>
                <w:webHidden/>
              </w:rPr>
              <w:instrText xml:space="preserve"> PAGEREF _Toc522706962 \h </w:instrText>
            </w:r>
            <w:r w:rsidR="007A2843">
              <w:rPr>
                <w:webHidden/>
              </w:rPr>
            </w:r>
            <w:r w:rsidR="007A2843">
              <w:rPr>
                <w:webHidden/>
              </w:rPr>
              <w:fldChar w:fldCharType="separate"/>
            </w:r>
            <w:r w:rsidR="007A2843">
              <w:rPr>
                <w:webHidden/>
              </w:rPr>
              <w:t>18</w:t>
            </w:r>
            <w:r w:rsidR="007A2843">
              <w:rPr>
                <w:webHidden/>
              </w:rPr>
              <w:fldChar w:fldCharType="end"/>
            </w:r>
          </w:hyperlink>
        </w:p>
        <w:p w14:paraId="0E8587A6" w14:textId="423959E5" w:rsidR="007A2843" w:rsidRDefault="00611CCA">
          <w:pPr>
            <w:pStyle w:val="TOC1"/>
            <w:rPr>
              <w:rFonts w:eastAsiaTheme="minorEastAsia" w:cstheme="minorBidi"/>
              <w:b w:val="0"/>
              <w:color w:val="auto"/>
              <w:szCs w:val="22"/>
              <w:lang w:eastAsia="en-US"/>
            </w:rPr>
          </w:pPr>
          <w:hyperlink w:anchor="_Toc522706963" w:history="1">
            <w:r w:rsidR="007A2843" w:rsidRPr="00084873">
              <w:rPr>
                <w:rStyle w:val="Hyperlink"/>
              </w:rPr>
              <w:t>9.</w:t>
            </w:r>
            <w:r w:rsidR="007A2843">
              <w:rPr>
                <w:rFonts w:eastAsiaTheme="minorEastAsia" w:cstheme="minorBidi"/>
                <w:b w:val="0"/>
                <w:color w:val="auto"/>
                <w:szCs w:val="22"/>
                <w:lang w:eastAsia="en-US"/>
              </w:rPr>
              <w:tab/>
            </w:r>
            <w:r w:rsidR="007A2843" w:rsidRPr="00084873">
              <w:rPr>
                <w:rStyle w:val="Hyperlink"/>
              </w:rPr>
              <w:t>Conclusion</w:t>
            </w:r>
            <w:r w:rsidR="007A2843">
              <w:rPr>
                <w:webHidden/>
              </w:rPr>
              <w:tab/>
            </w:r>
            <w:r w:rsidR="007A2843">
              <w:rPr>
                <w:webHidden/>
              </w:rPr>
              <w:fldChar w:fldCharType="begin"/>
            </w:r>
            <w:r w:rsidR="007A2843">
              <w:rPr>
                <w:webHidden/>
              </w:rPr>
              <w:instrText xml:space="preserve"> PAGEREF _Toc522706963 \h </w:instrText>
            </w:r>
            <w:r w:rsidR="007A2843">
              <w:rPr>
                <w:webHidden/>
              </w:rPr>
            </w:r>
            <w:r w:rsidR="007A2843">
              <w:rPr>
                <w:webHidden/>
              </w:rPr>
              <w:fldChar w:fldCharType="separate"/>
            </w:r>
            <w:r w:rsidR="007A2843">
              <w:rPr>
                <w:webHidden/>
              </w:rPr>
              <w:t>20</w:t>
            </w:r>
            <w:r w:rsidR="007A2843">
              <w:rPr>
                <w:webHidden/>
              </w:rPr>
              <w:fldChar w:fldCharType="end"/>
            </w:r>
          </w:hyperlink>
        </w:p>
        <w:p w14:paraId="33B1A706" w14:textId="199E79ED" w:rsidR="007A2843" w:rsidRDefault="00611CCA">
          <w:pPr>
            <w:pStyle w:val="TOC1"/>
            <w:rPr>
              <w:rFonts w:eastAsiaTheme="minorEastAsia" w:cstheme="minorBidi"/>
              <w:b w:val="0"/>
              <w:color w:val="auto"/>
              <w:szCs w:val="22"/>
              <w:lang w:eastAsia="en-US"/>
            </w:rPr>
          </w:pPr>
          <w:hyperlink w:anchor="_Toc522706964" w:history="1">
            <w:r w:rsidR="007A2843" w:rsidRPr="00084873">
              <w:rPr>
                <w:rStyle w:val="Hyperlink"/>
              </w:rPr>
              <w:t>List of Acronyms</w:t>
            </w:r>
            <w:r w:rsidR="007A2843">
              <w:rPr>
                <w:webHidden/>
              </w:rPr>
              <w:tab/>
            </w:r>
            <w:r w:rsidR="007A2843">
              <w:rPr>
                <w:webHidden/>
              </w:rPr>
              <w:fldChar w:fldCharType="begin"/>
            </w:r>
            <w:r w:rsidR="007A2843">
              <w:rPr>
                <w:webHidden/>
              </w:rPr>
              <w:instrText xml:space="preserve"> PAGEREF _Toc522706964 \h </w:instrText>
            </w:r>
            <w:r w:rsidR="007A2843">
              <w:rPr>
                <w:webHidden/>
              </w:rPr>
            </w:r>
            <w:r w:rsidR="007A2843">
              <w:rPr>
                <w:webHidden/>
              </w:rPr>
              <w:fldChar w:fldCharType="separate"/>
            </w:r>
            <w:r w:rsidR="007A2843">
              <w:rPr>
                <w:webHidden/>
              </w:rPr>
              <w:t>21</w:t>
            </w:r>
            <w:r w:rsidR="007A2843">
              <w:rPr>
                <w:webHidden/>
              </w:rPr>
              <w:fldChar w:fldCharType="end"/>
            </w:r>
          </w:hyperlink>
        </w:p>
        <w:p w14:paraId="76533393" w14:textId="71B7692A" w:rsidR="008F3CA8" w:rsidRDefault="008F3CA8" w:rsidP="008F3CA8">
          <w:pPr>
            <w:sectPr w:rsidR="008F3CA8" w:rsidSect="00463FE8">
              <w:footerReference w:type="default" r:id="rId14"/>
              <w:pgSz w:w="12240" w:h="15840"/>
              <w:pgMar w:top="1800" w:right="1440" w:bottom="1440" w:left="1440" w:header="720" w:footer="720" w:gutter="0"/>
              <w:pgNumType w:fmt="lowerRoman" w:start="2"/>
              <w:cols w:space="720"/>
            </w:sectPr>
          </w:pPr>
          <w:r>
            <w:rPr>
              <w:rFonts w:eastAsia="Times New Roman" w:cs="Times New Roman"/>
              <w:lang w:eastAsia="ja-JP"/>
            </w:rPr>
            <w:fldChar w:fldCharType="end"/>
          </w:r>
        </w:p>
      </w:sdtContent>
    </w:sdt>
    <w:p w14:paraId="70EE8E4D" w14:textId="77777777" w:rsidR="008F3CA8" w:rsidRDefault="5DDCF1D8" w:rsidP="5DDCF1D8">
      <w:pPr>
        <w:pStyle w:val="Heading1-NoNumbering"/>
      </w:pPr>
      <w:bookmarkStart w:id="0" w:name="_Toc484510388"/>
      <w:bookmarkStart w:id="1" w:name="_Toc522706948"/>
      <w:r>
        <w:lastRenderedPageBreak/>
        <w:t>Executive Summary</w:t>
      </w:r>
      <w:bookmarkEnd w:id="0"/>
      <w:bookmarkEnd w:id="1"/>
    </w:p>
    <w:p w14:paraId="0AD62294" w14:textId="77777777" w:rsidR="00832886" w:rsidRDefault="00F066AF" w:rsidP="00832886">
      <w:pPr>
        <w:pStyle w:val="BodyText"/>
      </w:pPr>
      <w:r>
        <w:t xml:space="preserve">Texas </w:t>
      </w:r>
      <w:r w:rsidRPr="00F066AF">
        <w:t>Health and Safety Code</w:t>
      </w:r>
      <w:r w:rsidR="007C0EAD">
        <w:t>,</w:t>
      </w:r>
      <w:r>
        <w:t xml:space="preserve"> </w:t>
      </w:r>
      <w:r w:rsidR="5DDCF1D8">
        <w:t xml:space="preserve">Sections </w:t>
      </w:r>
      <w:hyperlink r:id="rId15" w:anchor="161.0074">
        <w:r w:rsidR="5DDCF1D8" w:rsidRPr="00F066AF">
          <w:rPr>
            <w:rStyle w:val="Hyperlink"/>
          </w:rPr>
          <w:t>161</w:t>
        </w:r>
        <w:r w:rsidR="5DDCF1D8" w:rsidRPr="5DDCF1D8">
          <w:rPr>
            <w:rStyle w:val="Hyperlink"/>
            <w:rFonts w:asciiTheme="minorBidi" w:eastAsiaTheme="minorBidi" w:hAnsiTheme="minorBidi" w:cstheme="minorBidi"/>
          </w:rPr>
          <w:t>.</w:t>
        </w:r>
        <w:r w:rsidR="5DDCF1D8" w:rsidRPr="00F066AF">
          <w:rPr>
            <w:rStyle w:val="Hyperlink"/>
          </w:rPr>
          <w:t>0074</w:t>
        </w:r>
      </w:hyperlink>
      <w:r w:rsidR="5DDCF1D8">
        <w:t xml:space="preserve"> and</w:t>
      </w:r>
      <w:r w:rsidR="000C4A50">
        <w:t xml:space="preserve"> </w:t>
      </w:r>
      <w:hyperlink r:id="rId16" w:anchor="161.00706">
        <w:r w:rsidR="000C4A50" w:rsidRPr="00F066AF">
          <w:rPr>
            <w:rStyle w:val="Hyperlink"/>
          </w:rPr>
          <w:t>161.00706</w:t>
        </w:r>
      </w:hyperlink>
      <w:r w:rsidR="5DDCF1D8">
        <w:t xml:space="preserve"> require the Department of State Health Services (DSHS) to develop ways to increase immunization rates using state and federal resources</w:t>
      </w:r>
      <w:r w:rsidR="00437951">
        <w:t xml:space="preserve">, and </w:t>
      </w:r>
      <w:r w:rsidR="5DDCF1D8">
        <w:t xml:space="preserve">submit a report </w:t>
      </w:r>
      <w:r w:rsidR="00024FE8">
        <w:t xml:space="preserve">to </w:t>
      </w:r>
      <w:r w:rsidR="003A3754" w:rsidRPr="0047368C">
        <w:t xml:space="preserve">the Legislative Budget Board, the Governor, the Lieutenant Governor, the Speaker of the House of Representatives, and appropriate committees of the </w:t>
      </w:r>
      <w:r w:rsidR="00437951">
        <w:t>L</w:t>
      </w:r>
      <w:r w:rsidR="003A3754" w:rsidRPr="0047368C">
        <w:t>egislature</w:t>
      </w:r>
      <w:r w:rsidR="003A3754">
        <w:t xml:space="preserve"> by September 30 of each even-numbered year</w:t>
      </w:r>
      <w:r w:rsidR="5DDCF1D8">
        <w:t>.</w:t>
      </w:r>
    </w:p>
    <w:p w14:paraId="53F92BF5" w14:textId="77777777" w:rsidR="00832886" w:rsidRDefault="0084096F" w:rsidP="00832886">
      <w:pPr>
        <w:pStyle w:val="BodyText"/>
      </w:pPr>
      <w:r>
        <w:t>DSHS</w:t>
      </w:r>
      <w:r w:rsidR="5DDCF1D8">
        <w:t xml:space="preserve"> is charged with preventing and controlling disease in Texas. Vaccination is one of the surest ways to avoid many diseases. Over the past year, Texas has made progress in inc</w:t>
      </w:r>
      <w:r>
        <w:t>reasing vaccine coverage levels.</w:t>
      </w:r>
      <w:r w:rsidR="5DDCF1D8">
        <w:t xml:space="preserve"> </w:t>
      </w:r>
      <w:r>
        <w:t>However</w:t>
      </w:r>
      <w:r w:rsidR="5DDCF1D8">
        <w:t>, there are areas where improvement is still needed.</w:t>
      </w:r>
    </w:p>
    <w:p w14:paraId="19182595" w14:textId="77777777" w:rsidR="00CA1748" w:rsidRDefault="00CA1748" w:rsidP="00CA1748">
      <w:pPr>
        <w:pStyle w:val="BodyText"/>
      </w:pPr>
      <w:r>
        <w:t>According to the 2016 National Immunization Survey</w:t>
      </w:r>
      <w:r w:rsidR="000F3A15">
        <w:t>-</w:t>
      </w:r>
      <w:r>
        <w:t>Child</w:t>
      </w:r>
      <w:r w:rsidR="000F3A15">
        <w:t xml:space="preserve"> (NIS)</w:t>
      </w:r>
      <w:r>
        <w:t>, Texas</w:t>
      </w:r>
      <w:r w:rsidR="00024FE8">
        <w:t>’</w:t>
      </w:r>
      <w:r>
        <w:t xml:space="preserve"> vaccine coverage rates remained stable for the 4:3:1:3:3:1:4</w:t>
      </w:r>
      <w:bookmarkStart w:id="2" w:name="_Ref520810355"/>
      <w:r w:rsidR="004F52EE">
        <w:rPr>
          <w:rStyle w:val="FootnoteReference"/>
        </w:rPr>
        <w:footnoteReference w:id="1"/>
      </w:r>
      <w:bookmarkEnd w:id="2"/>
      <w:r>
        <w:t xml:space="preserve"> combination series in children 19-35 months old</w:t>
      </w:r>
      <w:r w:rsidR="00E16329">
        <w:t xml:space="preserve"> with a</w:t>
      </w:r>
      <w:r>
        <w:t xml:space="preserve"> coverage rate </w:t>
      </w:r>
      <w:r w:rsidR="00E16329">
        <w:t>of</w:t>
      </w:r>
      <w:r>
        <w:t xml:space="preserve"> 69.5 percent, similar to the national average of 70.7 percent. </w:t>
      </w:r>
    </w:p>
    <w:p w14:paraId="4E6674DC" w14:textId="77777777" w:rsidR="00CA1748" w:rsidRDefault="005D1A68" w:rsidP="00CA1748">
      <w:pPr>
        <w:pStyle w:val="BodyText"/>
      </w:pPr>
      <w:r>
        <w:t>Rates</w:t>
      </w:r>
      <w:r w:rsidR="5DDCF1D8">
        <w:t xml:space="preserve"> among Texas’ adolescent</w:t>
      </w:r>
      <w:r>
        <w:t>s</w:t>
      </w:r>
      <w:r w:rsidR="5DDCF1D8">
        <w:t xml:space="preserve"> </w:t>
      </w:r>
      <w:r>
        <w:t>remained mostly stable in 2016 as well</w:t>
      </w:r>
      <w:r w:rsidR="5DDCF1D8">
        <w:t xml:space="preserve">. </w:t>
      </w:r>
      <w:r>
        <w:t>For</w:t>
      </w:r>
      <w:r w:rsidR="5DDCF1D8">
        <w:t xml:space="preserve"> </w:t>
      </w:r>
      <w:r w:rsidR="5DDCF1D8" w:rsidRPr="5DDCF1D8">
        <w:rPr>
          <w:rStyle w:val="normaltextrun"/>
        </w:rPr>
        <w:t>tetanus</w:t>
      </w:r>
      <w:r w:rsidR="00DB4CF5">
        <w:rPr>
          <w:rStyle w:val="normaltextrun"/>
        </w:rPr>
        <w:t xml:space="preserve">, </w:t>
      </w:r>
      <w:r w:rsidR="5DDCF1D8" w:rsidRPr="5DDCF1D8">
        <w:rPr>
          <w:rStyle w:val="normaltextrun"/>
        </w:rPr>
        <w:t>diphtheria</w:t>
      </w:r>
      <w:r w:rsidR="00DB4CF5">
        <w:rPr>
          <w:rStyle w:val="normaltextrun"/>
        </w:rPr>
        <w:t xml:space="preserve">, and </w:t>
      </w:r>
      <w:r w:rsidR="5DDCF1D8" w:rsidRPr="5DDCF1D8">
        <w:rPr>
          <w:rStyle w:val="normaltextrun"/>
        </w:rPr>
        <w:t>acellular pertussis</w:t>
      </w:r>
      <w:r w:rsidR="5DDCF1D8">
        <w:t xml:space="preserve"> (Tdap)</w:t>
      </w:r>
      <w:r>
        <w:t>, the rate was</w:t>
      </w:r>
      <w:r w:rsidR="5DDCF1D8">
        <w:t xml:space="preserve"> 85 percent</w:t>
      </w:r>
      <w:r>
        <w:t>.</w:t>
      </w:r>
      <w:r w:rsidR="5DDCF1D8">
        <w:t xml:space="preserve"> </w:t>
      </w:r>
      <w:r>
        <w:t xml:space="preserve">For </w:t>
      </w:r>
      <w:r w:rsidR="5DDCF1D8">
        <w:t>human papillomavirus (HPV) s</w:t>
      </w:r>
      <w:r w:rsidR="00702C42">
        <w:t>eries initiation</w:t>
      </w:r>
      <w:r w:rsidR="0098117F">
        <w:t xml:space="preserve"> (</w:t>
      </w:r>
      <w:r w:rsidR="002F298A">
        <w:t>i.e.</w:t>
      </w:r>
      <w:r w:rsidR="0098117F">
        <w:t>, having received one or more doses)</w:t>
      </w:r>
      <w:r>
        <w:t>, the rate was</w:t>
      </w:r>
      <w:r w:rsidR="00702C42">
        <w:t xml:space="preserve"> 49.3 percent</w:t>
      </w:r>
      <w:r>
        <w:t>, but</w:t>
      </w:r>
      <w:r w:rsidR="5DDCF1D8">
        <w:t xml:space="preserve"> varied greatly </w:t>
      </w:r>
      <w:r>
        <w:t>across</w:t>
      </w:r>
      <w:r w:rsidR="5DDCF1D8">
        <w:t xml:space="preserve"> jurisdictions, ranging from </w:t>
      </w:r>
      <w:r w:rsidR="004E1CB8">
        <w:t>45.7</w:t>
      </w:r>
      <w:r w:rsidR="5DDCF1D8">
        <w:t xml:space="preserve"> percent to </w:t>
      </w:r>
      <w:r w:rsidR="004E1CB8">
        <w:t>79.8</w:t>
      </w:r>
      <w:r w:rsidR="5DDCF1D8">
        <w:t xml:space="preserve"> percent. Rates for </w:t>
      </w:r>
      <w:r>
        <w:t xml:space="preserve">the </w:t>
      </w:r>
      <w:r w:rsidR="5DDCF1D8">
        <w:t xml:space="preserve">meningococcal conjugate vaccine </w:t>
      </w:r>
      <w:r>
        <w:t xml:space="preserve">saw a decrease </w:t>
      </w:r>
      <w:r w:rsidR="5DDCF1D8">
        <w:t>for the first time since 2008</w:t>
      </w:r>
      <w:r w:rsidR="00F95ACC">
        <w:t>.</w:t>
      </w:r>
      <w:r w:rsidR="5DDCF1D8">
        <w:t xml:space="preserve"> </w:t>
      </w:r>
      <w:r w:rsidR="00F95ACC">
        <w:t>H</w:t>
      </w:r>
      <w:r w:rsidR="5DDCF1D8">
        <w:t xml:space="preserve">owever, </w:t>
      </w:r>
      <w:r w:rsidR="00F73B36">
        <w:t xml:space="preserve">with coverage rates at 85.5 percent, </w:t>
      </w:r>
      <w:r w:rsidR="5DDCF1D8">
        <w:t xml:space="preserve">Texas </w:t>
      </w:r>
      <w:r>
        <w:t xml:space="preserve">continued </w:t>
      </w:r>
      <w:r w:rsidR="5DDCF1D8">
        <w:t>to exceed the na</w:t>
      </w:r>
      <w:r w:rsidR="00B9456C">
        <w:t>tional average of 82.2 percent.</w:t>
      </w:r>
    </w:p>
    <w:p w14:paraId="4B9DEA72" w14:textId="77777777" w:rsidR="005D1A68" w:rsidRDefault="5DDCF1D8" w:rsidP="00832886">
      <w:pPr>
        <w:pStyle w:val="BodyText"/>
      </w:pPr>
      <w:r>
        <w:t xml:space="preserve">In recent years, DSHS has employed several strategies to increase coverage levels, including promoting a medical home, working with providers to make strong vaccination recommendations, </w:t>
      </w:r>
      <w:r w:rsidR="001B1842">
        <w:t xml:space="preserve">employing quality improvement efforts, engaging </w:t>
      </w:r>
      <w:r w:rsidR="001B1842">
        <w:lastRenderedPageBreak/>
        <w:t xml:space="preserve">and collaborating with partners and stakeholders, </w:t>
      </w:r>
      <w:r>
        <w:t xml:space="preserve">and promoting the use of ImmTrac2, the </w:t>
      </w:r>
      <w:r w:rsidR="005D1A68">
        <w:t>state’s immunization registry</w:t>
      </w:r>
      <w:r>
        <w:t>. These strategies have proven effective in increasing coverage levels and are the foundation for a successful immunization program.</w:t>
      </w:r>
      <w:r w:rsidR="003A3754">
        <w:t xml:space="preserve"> </w:t>
      </w:r>
    </w:p>
    <w:p w14:paraId="0437FF0B" w14:textId="77777777" w:rsidR="00832886" w:rsidRDefault="5DDCF1D8" w:rsidP="00832886">
      <w:pPr>
        <w:pStyle w:val="BodyText"/>
      </w:pPr>
      <w:r>
        <w:t>As</w:t>
      </w:r>
      <w:r w:rsidR="003A3754">
        <w:t xml:space="preserve"> a</w:t>
      </w:r>
      <w:r>
        <w:t xml:space="preserve"> part of </w:t>
      </w:r>
      <w:r w:rsidR="00C624DC">
        <w:t xml:space="preserve">coordinating </w:t>
      </w:r>
      <w:r>
        <w:t xml:space="preserve">immunization services across Texas, DSHS </w:t>
      </w:r>
      <w:r w:rsidR="005D1A68">
        <w:t xml:space="preserve">has contracted </w:t>
      </w:r>
      <w:r>
        <w:t xml:space="preserve">with 50 local health departments (LHD) to provide vaccines. For </w:t>
      </w:r>
      <w:r w:rsidR="005D1A68">
        <w:t xml:space="preserve">fiscal year </w:t>
      </w:r>
      <w:r w:rsidR="002F2E04">
        <w:t>2018</w:t>
      </w:r>
      <w:r>
        <w:t>, DSHS made awards totaling $15.</w:t>
      </w:r>
      <w:r w:rsidR="001B1842">
        <w:t>3</w:t>
      </w:r>
      <w:r>
        <w:t xml:space="preserve"> million in state and federal funds.</w:t>
      </w:r>
    </w:p>
    <w:p w14:paraId="7340047D" w14:textId="77777777" w:rsidR="00B55F87" w:rsidRDefault="5DDCF1D8" w:rsidP="00832886">
      <w:pPr>
        <w:pStyle w:val="BodyText"/>
      </w:pPr>
      <w:r>
        <w:t xml:space="preserve">While recent progress is encouraging, ongoing efforts by DSHS and our many immunization partners are essential </w:t>
      </w:r>
      <w:r w:rsidR="003A3754">
        <w:t xml:space="preserve">to </w:t>
      </w:r>
      <w:r>
        <w:t>ensur</w:t>
      </w:r>
      <w:r w:rsidR="003A3754">
        <w:t>e</w:t>
      </w:r>
      <w:r>
        <w:t xml:space="preserve"> that children and adults in communities across Texas are protected from vaccine-preventable diseases.</w:t>
      </w:r>
    </w:p>
    <w:p w14:paraId="79F911CA" w14:textId="77777777" w:rsidR="00832886" w:rsidRDefault="00832886" w:rsidP="00B55F87">
      <w:pPr>
        <w:pStyle w:val="BodyText"/>
      </w:pPr>
    </w:p>
    <w:p w14:paraId="632C5F40" w14:textId="77777777" w:rsidR="00B55F87" w:rsidRPr="00B55F87" w:rsidRDefault="00B55F87" w:rsidP="00B55F87">
      <w:pPr>
        <w:pStyle w:val="BodyText"/>
        <w:sectPr w:rsidR="00B55F87" w:rsidRPr="00B55F87" w:rsidSect="00973791">
          <w:footerReference w:type="default" r:id="rId17"/>
          <w:type w:val="continuous"/>
          <w:pgSz w:w="12240" w:h="15840" w:code="1"/>
          <w:pgMar w:top="1800" w:right="1440" w:bottom="1440" w:left="1440" w:header="720" w:footer="720" w:gutter="0"/>
          <w:pgNumType w:start="1"/>
          <w:cols w:space="720"/>
        </w:sectPr>
      </w:pPr>
    </w:p>
    <w:p w14:paraId="384F179B" w14:textId="77777777" w:rsidR="00CE4125" w:rsidRDefault="5DDCF1D8" w:rsidP="00D670A6">
      <w:pPr>
        <w:pStyle w:val="Heading1"/>
        <w:numPr>
          <w:ilvl w:val="0"/>
          <w:numId w:val="16"/>
        </w:numPr>
      </w:pPr>
      <w:bookmarkStart w:id="3" w:name="_Toc484503914"/>
      <w:bookmarkStart w:id="4" w:name="_Toc484510389"/>
      <w:bookmarkStart w:id="5" w:name="_Toc522706949"/>
      <w:bookmarkStart w:id="6" w:name="_Toc484503915"/>
      <w:bookmarkStart w:id="7" w:name="_Toc484510390"/>
      <w:r>
        <w:lastRenderedPageBreak/>
        <w:t>Introduction</w:t>
      </w:r>
      <w:bookmarkEnd w:id="3"/>
      <w:bookmarkEnd w:id="4"/>
      <w:bookmarkEnd w:id="5"/>
    </w:p>
    <w:p w14:paraId="4D496ABA" w14:textId="77777777" w:rsidR="00443BB1" w:rsidRDefault="003A3754" w:rsidP="00443BB1">
      <w:pPr>
        <w:pStyle w:val="BodyText"/>
      </w:pPr>
      <w:r>
        <w:t xml:space="preserve">Texas </w:t>
      </w:r>
      <w:r w:rsidRPr="00F066AF">
        <w:t>Health and Safety Code</w:t>
      </w:r>
      <w:r w:rsidR="007C0EAD">
        <w:t>,</w:t>
      </w:r>
      <w:r>
        <w:t xml:space="preserve"> Sections </w:t>
      </w:r>
      <w:hyperlink r:id="rId18" w:anchor="161.0074">
        <w:r w:rsidRPr="00F066AF">
          <w:rPr>
            <w:rStyle w:val="Hyperlink"/>
          </w:rPr>
          <w:t>161</w:t>
        </w:r>
        <w:r w:rsidRPr="5DDCF1D8">
          <w:rPr>
            <w:rStyle w:val="Hyperlink"/>
            <w:rFonts w:asciiTheme="minorBidi" w:eastAsiaTheme="minorBidi" w:hAnsiTheme="minorBidi" w:cstheme="minorBidi"/>
          </w:rPr>
          <w:t>.</w:t>
        </w:r>
        <w:r w:rsidRPr="00F066AF">
          <w:rPr>
            <w:rStyle w:val="Hyperlink"/>
          </w:rPr>
          <w:t>0074</w:t>
        </w:r>
      </w:hyperlink>
      <w:r>
        <w:t xml:space="preserve"> and </w:t>
      </w:r>
      <w:hyperlink r:id="rId19" w:anchor="161.00706">
        <w:r w:rsidRPr="00F066AF">
          <w:rPr>
            <w:rStyle w:val="Hyperlink"/>
          </w:rPr>
          <w:t>161.00706</w:t>
        </w:r>
      </w:hyperlink>
      <w:r>
        <w:t xml:space="preserve"> require the Department of State Health Services (DSHS)</w:t>
      </w:r>
      <w:r w:rsidR="5DDCF1D8">
        <w:t xml:space="preserve"> to</w:t>
      </w:r>
      <w:r w:rsidR="00443BB1">
        <w:t xml:space="preserve"> </w:t>
      </w:r>
      <w:r w:rsidR="00C84338" w:rsidRPr="00C84338">
        <w:t>develop ways to increase immunization rates using state and federal resources</w:t>
      </w:r>
      <w:r w:rsidR="007C0EAD">
        <w:t xml:space="preserve">, and </w:t>
      </w:r>
      <w:r w:rsidR="00C84338" w:rsidRPr="00C84338">
        <w:t xml:space="preserve">submit a report </w:t>
      </w:r>
      <w:r w:rsidR="007C0EAD">
        <w:t xml:space="preserve">to </w:t>
      </w:r>
      <w:r w:rsidR="007C0EAD" w:rsidRPr="0047368C">
        <w:t xml:space="preserve">the Legislative Budget Board, the Governor, the Lieutenant Governor, the Speaker of the House of Representatives, and appropriate committees of the </w:t>
      </w:r>
      <w:r w:rsidR="007C0EAD">
        <w:t>L</w:t>
      </w:r>
      <w:r w:rsidR="007C0EAD" w:rsidRPr="0047368C">
        <w:t>egislature</w:t>
      </w:r>
      <w:r w:rsidR="007C0EAD">
        <w:t xml:space="preserve"> by September 30 of each even-numbered year. The report </w:t>
      </w:r>
      <w:r>
        <w:t>must</w:t>
      </w:r>
      <w:r w:rsidR="00C84338" w:rsidRPr="00C84338">
        <w:t>:</w:t>
      </w:r>
    </w:p>
    <w:p w14:paraId="14903E1C" w14:textId="77777777" w:rsidR="00443BB1" w:rsidRDefault="00443BB1" w:rsidP="007826ED">
      <w:pPr>
        <w:pStyle w:val="ListBullet"/>
        <w:spacing w:before="120"/>
        <w:contextualSpacing w:val="0"/>
      </w:pPr>
      <w:r>
        <w:t>Include the current immunization rates by geographic region of the state, where available</w:t>
      </w:r>
    </w:p>
    <w:p w14:paraId="7CAB7828" w14:textId="77777777" w:rsidR="00443BB1" w:rsidRDefault="00443BB1" w:rsidP="007826ED">
      <w:pPr>
        <w:pStyle w:val="ListBullet"/>
        <w:spacing w:before="120"/>
        <w:contextualSpacing w:val="0"/>
      </w:pPr>
      <w:r>
        <w:t>Focus on the geographic regions of the state with immunization rates below the state average for preschool children</w:t>
      </w:r>
    </w:p>
    <w:p w14:paraId="592D9B61" w14:textId="77777777" w:rsidR="00443BB1" w:rsidRDefault="00443BB1" w:rsidP="007826ED">
      <w:pPr>
        <w:pStyle w:val="ListBullet"/>
        <w:spacing w:before="120"/>
        <w:contextualSpacing w:val="0"/>
      </w:pPr>
      <w:r>
        <w:t>Describe the approaches identified to increase immunization rates in underserved areas and the estimated cost for each</w:t>
      </w:r>
    </w:p>
    <w:p w14:paraId="45AEB407" w14:textId="77777777" w:rsidR="00443BB1" w:rsidRDefault="00443BB1" w:rsidP="007826ED">
      <w:pPr>
        <w:pStyle w:val="ListBullet"/>
        <w:spacing w:before="120"/>
        <w:contextualSpacing w:val="0"/>
      </w:pPr>
      <w:r>
        <w:t>Identify changes to department procedures needed to increase immunization rates</w:t>
      </w:r>
    </w:p>
    <w:p w14:paraId="5A3D3793" w14:textId="77777777" w:rsidR="00443BB1" w:rsidRDefault="00443BB1" w:rsidP="007826ED">
      <w:pPr>
        <w:pStyle w:val="ListBullet"/>
        <w:spacing w:before="120"/>
        <w:contextualSpacing w:val="0"/>
      </w:pPr>
      <w:r>
        <w:t xml:space="preserve">Identify the services provided under and provisions of contracts entered into by </w:t>
      </w:r>
      <w:r w:rsidR="00D1722C">
        <w:t>DSHS</w:t>
      </w:r>
      <w:r>
        <w:t xml:space="preserve"> to increase immunization rates in underserved areas</w:t>
      </w:r>
    </w:p>
    <w:p w14:paraId="7989E3BB" w14:textId="77777777" w:rsidR="00443BB1" w:rsidRDefault="00443BB1" w:rsidP="007826ED">
      <w:pPr>
        <w:pStyle w:val="ListBullet"/>
        <w:spacing w:before="120"/>
        <w:contextualSpacing w:val="0"/>
      </w:pPr>
      <w:r>
        <w:t xml:space="preserve">Identify performance measures used in contracts </w:t>
      </w:r>
      <w:r w:rsidR="003A3754">
        <w:t>entered into by DSHS to increase immunization rates in underserved areas</w:t>
      </w:r>
    </w:p>
    <w:p w14:paraId="39F27B43" w14:textId="77777777" w:rsidR="00443BB1" w:rsidRDefault="00443BB1" w:rsidP="007826ED">
      <w:pPr>
        <w:pStyle w:val="ListBullet"/>
        <w:spacing w:before="120"/>
        <w:contextualSpacing w:val="0"/>
      </w:pPr>
      <w:r>
        <w:t>Include the number and type of exemptions used in the past year</w:t>
      </w:r>
    </w:p>
    <w:p w14:paraId="266F9CC6" w14:textId="77777777" w:rsidR="00443BB1" w:rsidRDefault="00443BB1" w:rsidP="007826ED">
      <w:pPr>
        <w:pStyle w:val="ListBullet"/>
        <w:spacing w:before="120"/>
        <w:contextualSpacing w:val="0"/>
      </w:pPr>
      <w:r>
        <w:t xml:space="preserve">Include the number of complaints received by </w:t>
      </w:r>
      <w:r w:rsidR="00D1722C">
        <w:t>DSHS</w:t>
      </w:r>
      <w:r>
        <w:t xml:space="preserve"> related to </w:t>
      </w:r>
      <w:r w:rsidR="003A3754">
        <w:t xml:space="preserve">its </w:t>
      </w:r>
      <w:r>
        <w:t>failure to comply with requests for exclusion of individuals from the registry</w:t>
      </w:r>
    </w:p>
    <w:p w14:paraId="22DE0CD5" w14:textId="77777777" w:rsidR="00443BB1" w:rsidRDefault="00443BB1" w:rsidP="007826ED">
      <w:pPr>
        <w:pStyle w:val="ListBullet"/>
        <w:spacing w:before="120"/>
        <w:contextualSpacing w:val="0"/>
      </w:pPr>
      <w:r>
        <w:t>Identify all reported incidents of discrimination for requesting exclusion from the registry or for using an exemption for a required immunization</w:t>
      </w:r>
    </w:p>
    <w:p w14:paraId="3B9F03FF" w14:textId="77777777" w:rsidR="00443BB1" w:rsidRDefault="00443BB1" w:rsidP="007826ED">
      <w:pPr>
        <w:pStyle w:val="ListBullet"/>
        <w:spacing w:before="120"/>
        <w:contextualSpacing w:val="0"/>
      </w:pPr>
      <w:r>
        <w:t>I</w:t>
      </w:r>
      <w:r w:rsidRPr="00443BB1">
        <w:t xml:space="preserve">nclude the number of complaints received by </w:t>
      </w:r>
      <w:r w:rsidR="00D1722C">
        <w:t>DSHS</w:t>
      </w:r>
      <w:r w:rsidRPr="00443BB1">
        <w:t xml:space="preserve"> related to </w:t>
      </w:r>
      <w:r w:rsidR="003A3754">
        <w:t>its</w:t>
      </w:r>
      <w:r w:rsidR="003A3754" w:rsidRPr="00443BB1">
        <w:t xml:space="preserve"> </w:t>
      </w:r>
      <w:r w:rsidRPr="00443BB1">
        <w:t>failure to comply with requests for removal of information from the registry under</w:t>
      </w:r>
      <w:r w:rsidR="00C84338">
        <w:t xml:space="preserve"> Texas Health and Safety Code,</w:t>
      </w:r>
      <w:r w:rsidRPr="00443BB1">
        <w:t xml:space="preserve"> </w:t>
      </w:r>
      <w:hyperlink r:id="rId20" w:anchor="161.00706" w:history="1">
        <w:r w:rsidR="00C84338" w:rsidRPr="00003CFD">
          <w:rPr>
            <w:rStyle w:val="Hyperlink"/>
            <w:rFonts w:cstheme="minorBidi"/>
          </w:rPr>
          <w:t>Section 161.00706</w:t>
        </w:r>
      </w:hyperlink>
      <w:r w:rsidR="00C84338" w:rsidRPr="000C4A50">
        <w:t>, Subsection (e)</w:t>
      </w:r>
    </w:p>
    <w:p w14:paraId="5E692573" w14:textId="77777777" w:rsidR="00443BB1" w:rsidRDefault="00443BB1" w:rsidP="007826ED">
      <w:pPr>
        <w:pStyle w:val="ListBullet"/>
        <w:spacing w:before="120"/>
        <w:contextualSpacing w:val="0"/>
      </w:pPr>
      <w:r>
        <w:t xml:space="preserve">Include </w:t>
      </w:r>
      <w:r w:rsidR="00D1722C">
        <w:t>DSHS</w:t>
      </w:r>
      <w:r w:rsidR="003A3754">
        <w:t>’</w:t>
      </w:r>
      <w:r w:rsidR="00EF3278">
        <w:t>s</w:t>
      </w:r>
      <w:r>
        <w:t xml:space="preserve"> recommendations about the best way to use, and communicate with, local registries in the state</w:t>
      </w:r>
    </w:p>
    <w:p w14:paraId="02CEA87D" w14:textId="77777777" w:rsidR="00443BB1" w:rsidRDefault="00443BB1" w:rsidP="007826ED">
      <w:pPr>
        <w:pStyle w:val="ListBullet"/>
        <w:spacing w:before="120"/>
        <w:contextualSpacing w:val="0"/>
      </w:pPr>
      <w:r>
        <w:t>Include ways to increase provider participation in the registry</w:t>
      </w:r>
    </w:p>
    <w:p w14:paraId="4D22729D" w14:textId="77777777" w:rsidR="008F3CA8" w:rsidRDefault="5DDCF1D8" w:rsidP="008F3CA8">
      <w:pPr>
        <w:pStyle w:val="Heading1"/>
      </w:pPr>
      <w:bookmarkStart w:id="8" w:name="_Toc522706950"/>
      <w:r>
        <w:lastRenderedPageBreak/>
        <w:t>Background</w:t>
      </w:r>
      <w:bookmarkEnd w:id="6"/>
      <w:bookmarkEnd w:id="7"/>
      <w:bookmarkEnd w:id="8"/>
    </w:p>
    <w:p w14:paraId="3D93DB83" w14:textId="4A924D19" w:rsidR="001043B4" w:rsidRDefault="5DDCF1D8" w:rsidP="001043B4">
      <w:pPr>
        <w:pStyle w:val="BodyText"/>
      </w:pPr>
      <w:r>
        <w:t xml:space="preserve">Vaccines are recognized as one of the top </w:t>
      </w:r>
      <w:r w:rsidR="000E7E5A">
        <w:t xml:space="preserve">10 </w:t>
      </w:r>
      <w:r>
        <w:t>public health successes of the 20</w:t>
      </w:r>
      <w:r w:rsidRPr="00F41DE5">
        <w:rPr>
          <w:vertAlign w:val="superscript"/>
        </w:rPr>
        <w:t>th</w:t>
      </w:r>
      <w:r>
        <w:t xml:space="preserve"> century. Diseases including measles, mumps, rubella, diphtheria, and polio were once widespread. Toda</w:t>
      </w:r>
      <w:r w:rsidR="00445F43">
        <w:t>y, vaccine-preventable diseases</w:t>
      </w:r>
      <w:r w:rsidR="00D91CBD">
        <w:t xml:space="preserve"> (VPDs)</w:t>
      </w:r>
      <w:r w:rsidR="004031B1">
        <w:t xml:space="preserve"> </w:t>
      </w:r>
      <w:r>
        <w:t xml:space="preserve">are rare in the United States due to concerted efforts to vaccinate the public. </w:t>
      </w:r>
      <w:r w:rsidR="00445F43">
        <w:t>Despite this, every year</w:t>
      </w:r>
      <w:r w:rsidR="003A3754">
        <w:t>,</w:t>
      </w:r>
      <w:r w:rsidR="00445F43">
        <w:t xml:space="preserve"> </w:t>
      </w:r>
      <w:r w:rsidR="00D91CBD">
        <w:t>VPD</w:t>
      </w:r>
      <w:r w:rsidR="009F6880">
        <w:t xml:space="preserve"> outbreaks occur in Texas, causing suffer</w:t>
      </w:r>
      <w:r w:rsidR="00FF3964">
        <w:t>ing</w:t>
      </w:r>
      <w:r w:rsidR="00703AE9">
        <w:t>, and in some cases</w:t>
      </w:r>
      <w:r w:rsidR="007C0EAD">
        <w:t xml:space="preserve">, </w:t>
      </w:r>
      <w:r w:rsidR="00FF3964">
        <w:t>death</w:t>
      </w:r>
      <w:r>
        <w:t>.</w:t>
      </w:r>
    </w:p>
    <w:p w14:paraId="007E2425" w14:textId="77777777" w:rsidR="007826ED" w:rsidRDefault="001043B4" w:rsidP="00347310">
      <w:pPr>
        <w:pStyle w:val="BodyText"/>
      </w:pPr>
      <w:r w:rsidRPr="001043B4">
        <w:t>A highly</w:t>
      </w:r>
      <w:r w:rsidR="007C0EAD">
        <w:t>-</w:t>
      </w:r>
      <w:r w:rsidRPr="001043B4">
        <w:t xml:space="preserve">vaccinated population reduces the incidence of disease and safeguards public health. </w:t>
      </w:r>
      <w:r w:rsidR="007F2BB4">
        <w:t xml:space="preserve">To ensure that vaccine coverage levels in Texas are high, the </w:t>
      </w:r>
      <w:r w:rsidR="00F12A27">
        <w:t>Department of State Health Services (</w:t>
      </w:r>
      <w:r w:rsidR="00703AE9">
        <w:t>DSHS</w:t>
      </w:r>
      <w:r w:rsidR="00F12A27">
        <w:t>)</w:t>
      </w:r>
      <w:r w:rsidR="00703AE9">
        <w:t xml:space="preserve"> </w:t>
      </w:r>
      <w:r w:rsidR="007F2BB4">
        <w:t>engages in efforts to promote</w:t>
      </w:r>
      <w:r w:rsidR="00703AE9">
        <w:t xml:space="preserve"> vaccinations for infants, children, teens, and adults</w:t>
      </w:r>
      <w:r w:rsidR="00703AE9" w:rsidRPr="00703AE9">
        <w:t xml:space="preserve"> through a </w:t>
      </w:r>
      <w:r w:rsidR="00D670A6">
        <w:t>network of</w:t>
      </w:r>
      <w:r w:rsidR="00D670A6" w:rsidRPr="00703AE9">
        <w:t xml:space="preserve"> </w:t>
      </w:r>
      <w:r w:rsidR="00703AE9" w:rsidRPr="00703AE9">
        <w:t>partnership</w:t>
      </w:r>
      <w:r w:rsidR="00D670A6">
        <w:t>s</w:t>
      </w:r>
      <w:r w:rsidR="00703AE9" w:rsidRPr="00703AE9">
        <w:t xml:space="preserve"> that integrate federal agencies and programs, state and local governments, schools, healthcare providers, employers, insurers and health plans, vaccine manufacturers, and others in the private sector.</w:t>
      </w:r>
      <w:r w:rsidR="00F33343">
        <w:t xml:space="preserve"> </w:t>
      </w:r>
    </w:p>
    <w:p w14:paraId="51CDBB92" w14:textId="2EC28893" w:rsidR="00703AE9" w:rsidRDefault="00F33343" w:rsidP="00347310">
      <w:pPr>
        <w:pStyle w:val="BodyText"/>
      </w:pPr>
      <w:r>
        <w:t>Immunization activities are coordinated</w:t>
      </w:r>
      <w:r w:rsidR="00703AE9">
        <w:t xml:space="preserve"> by </w:t>
      </w:r>
      <w:r w:rsidR="007826ED">
        <w:t xml:space="preserve">DSHS </w:t>
      </w:r>
      <w:r w:rsidR="00703AE9">
        <w:t>and contracted local health departments (LHDs</w:t>
      </w:r>
      <w:r w:rsidR="00F62DCB">
        <w:t xml:space="preserve">), and </w:t>
      </w:r>
      <w:r w:rsidR="00703AE9">
        <w:t xml:space="preserve">reflect the following strategic goals set by DSHS: </w:t>
      </w:r>
    </w:p>
    <w:p w14:paraId="5CA1C17B" w14:textId="77777777" w:rsidR="00703AE9" w:rsidRPr="00B34BD3" w:rsidRDefault="00703AE9" w:rsidP="00CE66E1">
      <w:pPr>
        <w:pStyle w:val="ListBullet"/>
        <w:contextualSpacing w:val="0"/>
      </w:pPr>
      <w:r>
        <w:t xml:space="preserve">Improve </w:t>
      </w:r>
      <w:r w:rsidRPr="00B34BD3">
        <w:t>vaccine coverage levels for infants, children, and adolescents</w:t>
      </w:r>
    </w:p>
    <w:p w14:paraId="448865AC" w14:textId="77777777" w:rsidR="00703AE9" w:rsidRPr="00932AEF" w:rsidRDefault="00703AE9" w:rsidP="00CE66E1">
      <w:pPr>
        <w:pStyle w:val="ListBullet"/>
        <w:contextualSpacing w:val="0"/>
      </w:pPr>
      <w:r w:rsidRPr="00932AEF">
        <w:t>Improve vaccine coverage levels for adults</w:t>
      </w:r>
    </w:p>
    <w:p w14:paraId="3FB15718" w14:textId="77777777" w:rsidR="00703AE9" w:rsidRPr="00932AEF" w:rsidRDefault="00703AE9" w:rsidP="00CE66E1">
      <w:pPr>
        <w:pStyle w:val="ListBullet"/>
        <w:contextualSpacing w:val="0"/>
      </w:pPr>
      <w:r w:rsidRPr="00932AEF">
        <w:t>Invest in a capable vaccination community with sufficient resources to excellently manage and contribute to Texas’ immunization program</w:t>
      </w:r>
    </w:p>
    <w:p w14:paraId="116704DF" w14:textId="77777777" w:rsidR="00703AE9" w:rsidRPr="00932AEF" w:rsidRDefault="00703AE9" w:rsidP="00CE66E1">
      <w:pPr>
        <w:pStyle w:val="ListBullet"/>
        <w:contextualSpacing w:val="0"/>
      </w:pPr>
      <w:r w:rsidRPr="00932AEF">
        <w:t>Maintain and improve public health preparedness</w:t>
      </w:r>
    </w:p>
    <w:p w14:paraId="383287A0" w14:textId="77777777" w:rsidR="00703AE9" w:rsidRDefault="00703AE9" w:rsidP="00CE66E1">
      <w:pPr>
        <w:pStyle w:val="ListBullet"/>
        <w:contextualSpacing w:val="0"/>
      </w:pPr>
      <w:r w:rsidRPr="00932AEF">
        <w:t>Promote and practice</w:t>
      </w:r>
      <w:r>
        <w:t xml:space="preserve"> the safe handling and administration of vaccines and ensure the accountability and integrity of all program components</w:t>
      </w:r>
    </w:p>
    <w:p w14:paraId="1210DFE0" w14:textId="05704E5F" w:rsidR="00FF3964" w:rsidRDefault="00FF3964" w:rsidP="00FF3964">
      <w:pPr>
        <w:pStyle w:val="BodyText"/>
      </w:pPr>
      <w:r>
        <w:t xml:space="preserve">To address Texas’ </w:t>
      </w:r>
      <w:r w:rsidR="007F2BB4">
        <w:t xml:space="preserve">complex </w:t>
      </w:r>
      <w:r>
        <w:t>immunization needs, DSHS operates</w:t>
      </w:r>
      <w:r w:rsidR="00916943">
        <w:t xml:space="preserve"> </w:t>
      </w:r>
      <w:r>
        <w:t xml:space="preserve">the </w:t>
      </w:r>
      <w:r w:rsidRPr="00520100">
        <w:t>Texas Vaccines for Children (TVFC)</w:t>
      </w:r>
      <w:r>
        <w:rPr>
          <w:rStyle w:val="FootnoteReference"/>
        </w:rPr>
        <w:footnoteReference w:id="2"/>
      </w:r>
      <w:r w:rsidRPr="00520100">
        <w:t xml:space="preserve"> and Adult Safety Net (ASN)</w:t>
      </w:r>
      <w:r>
        <w:rPr>
          <w:rStyle w:val="FootnoteReference"/>
        </w:rPr>
        <w:footnoteReference w:id="3"/>
      </w:r>
      <w:r>
        <w:t xml:space="preserve"> programs </w:t>
      </w:r>
      <w:r w:rsidR="00916943">
        <w:t xml:space="preserve">and manages </w:t>
      </w:r>
      <w:r>
        <w:t xml:space="preserve">the </w:t>
      </w:r>
      <w:r w:rsidRPr="006833C2">
        <w:lastRenderedPageBreak/>
        <w:t xml:space="preserve">statewide immunization information system, </w:t>
      </w:r>
      <w:r w:rsidR="007826ED">
        <w:t xml:space="preserve">known as </w:t>
      </w:r>
      <w:r w:rsidRPr="006833C2">
        <w:t>ImmTrac2</w:t>
      </w:r>
      <w:r w:rsidR="00474423">
        <w:rPr>
          <w:rStyle w:val="FootnoteReference"/>
        </w:rPr>
        <w:footnoteReference w:id="4"/>
      </w:r>
      <w:r w:rsidR="00916943">
        <w:t>,</w:t>
      </w:r>
      <w:r w:rsidR="00916943" w:rsidRPr="00916943">
        <w:t xml:space="preserve"> </w:t>
      </w:r>
      <w:r w:rsidR="00916943">
        <w:t>which allows Texans to store their vaccination records in a secure, electronic registry</w:t>
      </w:r>
      <w:r>
        <w:t xml:space="preserve">. Additionally, DSHS conducts public information and education </w:t>
      </w:r>
      <w:r w:rsidR="00916943">
        <w:t xml:space="preserve">related to </w:t>
      </w:r>
      <w:r w:rsidR="00D91CBD">
        <w:t>VPDs</w:t>
      </w:r>
      <w:r w:rsidR="00916943">
        <w:t xml:space="preserve"> </w:t>
      </w:r>
      <w:r>
        <w:t xml:space="preserve">and </w:t>
      </w:r>
      <w:r w:rsidR="00916943">
        <w:t>performs assessment, compliance, and evaluation of</w:t>
      </w:r>
      <w:r>
        <w:t xml:space="preserve"> </w:t>
      </w:r>
      <w:r w:rsidR="00916943">
        <w:t xml:space="preserve">vaccine </w:t>
      </w:r>
      <w:r w:rsidRPr="005B5439">
        <w:t xml:space="preserve">coverage </w:t>
      </w:r>
      <w:r>
        <w:t xml:space="preserve">across the state. </w:t>
      </w:r>
    </w:p>
    <w:p w14:paraId="546A42C7" w14:textId="77777777" w:rsidR="008F3CA8" w:rsidRPr="008106C1" w:rsidRDefault="5DDCF1D8" w:rsidP="007B2FC0">
      <w:pPr>
        <w:pStyle w:val="Heading1"/>
      </w:pPr>
      <w:bookmarkStart w:id="9" w:name="_Toc522706951"/>
      <w:r>
        <w:lastRenderedPageBreak/>
        <w:t>Immunization Coverage Rates</w:t>
      </w:r>
      <w:bookmarkEnd w:id="9"/>
    </w:p>
    <w:p w14:paraId="0B909D38" w14:textId="74670881" w:rsidR="00AF1BE0" w:rsidRPr="00ED7841" w:rsidRDefault="00F12A27" w:rsidP="00AF1BE0">
      <w:pPr>
        <w:contextualSpacing/>
        <w:rPr>
          <w:rStyle w:val="BodyTextChar"/>
        </w:rPr>
      </w:pPr>
      <w:bookmarkStart w:id="10" w:name="_Toc484503917"/>
      <w:bookmarkStart w:id="11" w:name="_Toc484510392"/>
      <w:r>
        <w:rPr>
          <w:rFonts w:eastAsia="Calibri"/>
          <w:spacing w:val="-2"/>
          <w:szCs w:val="24"/>
        </w:rPr>
        <w:t>The Department of State Health Services (</w:t>
      </w:r>
      <w:r w:rsidR="00E5677B">
        <w:rPr>
          <w:rFonts w:eastAsia="Calibri"/>
          <w:spacing w:val="-2"/>
          <w:szCs w:val="24"/>
        </w:rPr>
        <w:t>DSHS</w:t>
      </w:r>
      <w:r>
        <w:rPr>
          <w:rFonts w:eastAsia="Calibri"/>
          <w:spacing w:val="-2"/>
          <w:szCs w:val="24"/>
        </w:rPr>
        <w:t>)</w:t>
      </w:r>
      <w:r w:rsidR="00E5677B">
        <w:rPr>
          <w:rFonts w:eastAsia="Calibri"/>
          <w:spacing w:val="-2"/>
          <w:szCs w:val="24"/>
        </w:rPr>
        <w:t xml:space="preserve"> uses the</w:t>
      </w:r>
      <w:r w:rsidR="00AF1BE0" w:rsidRPr="00BF51E8">
        <w:rPr>
          <w:rFonts w:eastAsia="Calibri"/>
          <w:spacing w:val="-2"/>
          <w:szCs w:val="24"/>
        </w:rPr>
        <w:t xml:space="preserve"> National Immunization Survey (NIS)</w:t>
      </w:r>
      <w:r w:rsidR="00E5677B">
        <w:rPr>
          <w:rFonts w:eastAsia="Calibri"/>
          <w:spacing w:val="-2"/>
          <w:szCs w:val="24"/>
        </w:rPr>
        <w:t>,</w:t>
      </w:r>
      <w:r w:rsidR="00AF1BE0" w:rsidRPr="00BF51E8">
        <w:rPr>
          <w:rFonts w:eastAsia="Calibri"/>
          <w:spacing w:val="-2"/>
          <w:szCs w:val="24"/>
        </w:rPr>
        <w:t xml:space="preserve"> conducted annually by the Centers for Disease Control and Prevention (CDC)</w:t>
      </w:r>
      <w:r w:rsidR="00E5677B">
        <w:rPr>
          <w:rFonts w:eastAsia="Calibri"/>
          <w:spacing w:val="-2"/>
          <w:szCs w:val="24"/>
        </w:rPr>
        <w:t>,</w:t>
      </w:r>
      <w:r w:rsidR="00AF1BE0" w:rsidRPr="00BF51E8">
        <w:rPr>
          <w:rFonts w:eastAsia="Calibri"/>
          <w:spacing w:val="-2"/>
          <w:szCs w:val="24"/>
        </w:rPr>
        <w:t xml:space="preserve"> to assess immunization levels</w:t>
      </w:r>
      <w:r w:rsidR="00AF1BE0">
        <w:rPr>
          <w:rFonts w:eastAsia="Calibri"/>
          <w:spacing w:val="-2"/>
          <w:szCs w:val="24"/>
        </w:rPr>
        <w:t xml:space="preserve"> throughout </w:t>
      </w:r>
      <w:r w:rsidR="00E5677B">
        <w:rPr>
          <w:rFonts w:eastAsia="Calibri"/>
          <w:spacing w:val="-2"/>
          <w:szCs w:val="24"/>
        </w:rPr>
        <w:t>Texas</w:t>
      </w:r>
      <w:r w:rsidR="00AF1BE0">
        <w:rPr>
          <w:rFonts w:eastAsia="Calibri"/>
          <w:spacing w:val="-2"/>
          <w:szCs w:val="24"/>
        </w:rPr>
        <w:t xml:space="preserve">. </w:t>
      </w:r>
      <w:r w:rsidR="00722FF0">
        <w:rPr>
          <w:rFonts w:eastAsia="Calibri"/>
          <w:spacing w:val="-2"/>
          <w:szCs w:val="24"/>
        </w:rPr>
        <w:t xml:space="preserve">NIS </w:t>
      </w:r>
      <w:r w:rsidR="00D42C7C">
        <w:rPr>
          <w:rFonts w:eastAsia="Calibri"/>
          <w:spacing w:val="-2"/>
          <w:szCs w:val="24"/>
        </w:rPr>
        <w:t>gathers data on</w:t>
      </w:r>
      <w:r w:rsidR="00722FF0">
        <w:rPr>
          <w:rFonts w:eastAsia="Calibri"/>
          <w:spacing w:val="-2"/>
          <w:szCs w:val="24"/>
        </w:rPr>
        <w:t xml:space="preserve"> children and teen</w:t>
      </w:r>
      <w:r w:rsidR="00474423">
        <w:rPr>
          <w:rFonts w:eastAsia="Calibri"/>
          <w:spacing w:val="-2"/>
          <w:szCs w:val="24"/>
        </w:rPr>
        <w:t xml:space="preserve"> </w:t>
      </w:r>
      <w:r w:rsidR="00DB6564">
        <w:rPr>
          <w:rFonts w:eastAsia="Calibri"/>
          <w:spacing w:val="-2"/>
          <w:szCs w:val="24"/>
        </w:rPr>
        <w:t>coverage</w:t>
      </w:r>
      <w:r w:rsidR="00722FF0">
        <w:rPr>
          <w:rFonts w:eastAsia="Calibri"/>
          <w:spacing w:val="-2"/>
          <w:szCs w:val="24"/>
        </w:rPr>
        <w:t xml:space="preserve"> </w:t>
      </w:r>
      <w:r w:rsidR="00DB6564">
        <w:rPr>
          <w:rFonts w:eastAsia="Calibri"/>
          <w:spacing w:val="-2"/>
          <w:szCs w:val="24"/>
        </w:rPr>
        <w:t xml:space="preserve">rates </w:t>
      </w:r>
      <w:r w:rsidR="00D42C7C">
        <w:rPr>
          <w:rFonts w:eastAsia="Calibri"/>
          <w:spacing w:val="-2"/>
          <w:szCs w:val="24"/>
        </w:rPr>
        <w:t>separately</w:t>
      </w:r>
      <w:r w:rsidR="00722FF0">
        <w:rPr>
          <w:rFonts w:eastAsia="Calibri"/>
          <w:spacing w:val="-2"/>
          <w:szCs w:val="24"/>
        </w:rPr>
        <w:t xml:space="preserve"> </w:t>
      </w:r>
      <w:r w:rsidR="00D42C7C">
        <w:rPr>
          <w:rFonts w:eastAsia="Calibri"/>
          <w:spacing w:val="-2"/>
          <w:szCs w:val="24"/>
        </w:rPr>
        <w:t>using</w:t>
      </w:r>
      <w:r w:rsidR="00F84676" w:rsidRPr="00F84676">
        <w:rPr>
          <w:rFonts w:eastAsia="Calibri"/>
          <w:spacing w:val="-2"/>
          <w:szCs w:val="24"/>
        </w:rPr>
        <w:t xml:space="preserve"> random-digit–dialed cellular and landline telephone surveys</w:t>
      </w:r>
      <w:r w:rsidR="00C5601A">
        <w:rPr>
          <w:rFonts w:eastAsia="Calibri"/>
          <w:spacing w:val="-2"/>
          <w:szCs w:val="24"/>
        </w:rPr>
        <w:t xml:space="preserve"> of parents followed by mail surveys of vaccination providers to confirm data</w:t>
      </w:r>
      <w:r w:rsidR="00F84676" w:rsidRPr="00F84676">
        <w:rPr>
          <w:rFonts w:eastAsia="Calibri"/>
          <w:spacing w:val="-2"/>
          <w:szCs w:val="24"/>
        </w:rPr>
        <w:t xml:space="preserve">. </w:t>
      </w:r>
      <w:r w:rsidR="00DD388C">
        <w:rPr>
          <w:rStyle w:val="BodyTextChar"/>
        </w:rPr>
        <w:t>The 2016 d</w:t>
      </w:r>
      <w:r w:rsidR="00E5677B" w:rsidRPr="00E5677B">
        <w:rPr>
          <w:rStyle w:val="BodyTextChar"/>
        </w:rPr>
        <w:t xml:space="preserve">ata reflect Texas as </w:t>
      </w:r>
      <w:r w:rsidR="00847573">
        <w:rPr>
          <w:rStyle w:val="BodyTextChar"/>
        </w:rPr>
        <w:t xml:space="preserve">a </w:t>
      </w:r>
      <w:r w:rsidR="00E5677B" w:rsidRPr="00E5677B">
        <w:rPr>
          <w:rStyle w:val="BodyTextChar"/>
        </w:rPr>
        <w:t xml:space="preserve">whole </w:t>
      </w:r>
      <w:r w:rsidR="007464D4">
        <w:rPr>
          <w:rStyle w:val="BodyTextChar"/>
        </w:rPr>
        <w:t xml:space="preserve">as well as </w:t>
      </w:r>
      <w:r w:rsidR="00E5677B" w:rsidRPr="00E5677B">
        <w:rPr>
          <w:rStyle w:val="BodyTextChar"/>
        </w:rPr>
        <w:t>selected urban areas</w:t>
      </w:r>
      <w:r w:rsidR="007464D4">
        <w:rPr>
          <w:rStyle w:val="BodyTextChar"/>
        </w:rPr>
        <w:t>, as follows</w:t>
      </w:r>
      <w:r w:rsidR="00E5677B" w:rsidRPr="00E5677B">
        <w:rPr>
          <w:rStyle w:val="BodyTextChar"/>
        </w:rPr>
        <w:t>: City of Houston, Bexar County, El Paso County, and Dallas County.</w:t>
      </w:r>
    </w:p>
    <w:p w14:paraId="45EC276A" w14:textId="77777777" w:rsidR="00262456" w:rsidRDefault="5DDCF1D8" w:rsidP="00262456">
      <w:pPr>
        <w:pStyle w:val="Heading2"/>
      </w:pPr>
      <w:bookmarkStart w:id="12" w:name="_Toc522706952"/>
      <w:r>
        <w:t>National Immunization Survey-Child</w:t>
      </w:r>
      <w:bookmarkEnd w:id="12"/>
    </w:p>
    <w:p w14:paraId="0FB0DE95" w14:textId="39915EB3" w:rsidR="0059154F" w:rsidRDefault="5DDCF1D8" w:rsidP="00CA1748">
      <w:pPr>
        <w:pStyle w:val="BodyText"/>
      </w:pPr>
      <w:r>
        <w:t>The NIS-Child assesses vaccine coverage levels for children 19-35 months of age</w:t>
      </w:r>
      <w:r w:rsidR="00436B6F">
        <w:t xml:space="preserve"> </w:t>
      </w:r>
      <w:r w:rsidR="0059154F">
        <w:t>receiving the 4:3:1:3:3:1:4 vaccine combination series.</w:t>
      </w:r>
      <w:r w:rsidR="00C44064">
        <w:rPr>
          <w:rStyle w:val="FootnoteReference"/>
        </w:rPr>
        <w:footnoteReference w:id="5"/>
      </w:r>
      <w:r w:rsidR="0059154F">
        <w:t xml:space="preserve"> The </w:t>
      </w:r>
      <w:r w:rsidR="0059154F" w:rsidRPr="00957F72">
        <w:t>4:3:1:3:3:1:4</w:t>
      </w:r>
      <w:r w:rsidR="0059154F">
        <w:t xml:space="preserve"> series is a representation of overall compliance for vaccines recommended by the Advisory Committee on Immunization Practices (ACIP) for children in this age group.</w:t>
      </w:r>
      <w:r w:rsidR="00F41DE5">
        <w:rPr>
          <w:rStyle w:val="FootnoteReference"/>
        </w:rPr>
        <w:footnoteReference w:id="6"/>
      </w:r>
    </w:p>
    <w:p w14:paraId="0F57C223" w14:textId="77777777" w:rsidR="00CA1748" w:rsidRDefault="5DDCF1D8" w:rsidP="00CA1748">
      <w:pPr>
        <w:pStyle w:val="BodyText"/>
      </w:pPr>
      <w:r>
        <w:t xml:space="preserve">The 2016 report, which was released in September 2017, measures </w:t>
      </w:r>
      <w:r w:rsidR="00436B6F">
        <w:t xml:space="preserve">coverage for </w:t>
      </w:r>
      <w:r>
        <w:t xml:space="preserve">children born between January 2013 and May 2015. Measures reflect the effectiveness of strategies and activities in place </w:t>
      </w:r>
      <w:r w:rsidR="00DD388C">
        <w:t>from 2013</w:t>
      </w:r>
      <w:r w:rsidR="003C3B7B">
        <w:t xml:space="preserve"> to </w:t>
      </w:r>
      <w:r w:rsidR="00DD388C">
        <w:t>2016</w:t>
      </w:r>
      <w:r>
        <w:t>.</w:t>
      </w:r>
    </w:p>
    <w:p w14:paraId="34BF818C" w14:textId="77777777" w:rsidR="00557FAF" w:rsidRDefault="5DDCF1D8" w:rsidP="00557FAF">
      <w:pPr>
        <w:pStyle w:val="BodyText"/>
      </w:pPr>
      <w:r>
        <w:t xml:space="preserve">Overall, Texas’ rate </w:t>
      </w:r>
      <w:r w:rsidR="00F279E8">
        <w:t xml:space="preserve">for children receiving the 4:3:1:3:3:1:4 combination series </w:t>
      </w:r>
      <w:r>
        <w:t xml:space="preserve">was 69.5 percent, similar to the national average of 70.7 percent. </w:t>
      </w:r>
      <w:r w:rsidR="00557FAF">
        <w:t xml:space="preserve">Across the sampled urban areas, coverage for the combined series ranged from 69.4 to 73.1 percent, as shown in </w:t>
      </w:r>
      <w:r w:rsidR="001E53B8">
        <w:t>Figure 1 below</w:t>
      </w:r>
      <w:r w:rsidR="00557FAF">
        <w:t>.</w:t>
      </w:r>
    </w:p>
    <w:p w14:paraId="31D9A09E" w14:textId="569FD500" w:rsidR="00AF1BE0" w:rsidRDefault="00AF1BE0" w:rsidP="00AF1BE0">
      <w:pPr>
        <w:pStyle w:val="Caption"/>
      </w:pPr>
      <w:r>
        <w:lastRenderedPageBreak/>
        <w:t xml:space="preserve">Figure </w:t>
      </w:r>
      <w:r w:rsidR="008E3A1A">
        <w:rPr>
          <w:noProof/>
        </w:rPr>
        <w:fldChar w:fldCharType="begin"/>
      </w:r>
      <w:r w:rsidR="008E3A1A">
        <w:rPr>
          <w:noProof/>
        </w:rPr>
        <w:instrText xml:space="preserve"> SEQ Figure \* ARABIC </w:instrText>
      </w:r>
      <w:r w:rsidR="008E3A1A">
        <w:rPr>
          <w:noProof/>
        </w:rPr>
        <w:fldChar w:fldCharType="separate"/>
      </w:r>
      <w:r w:rsidR="0057330E">
        <w:rPr>
          <w:noProof/>
        </w:rPr>
        <w:t>1</w:t>
      </w:r>
      <w:r w:rsidR="008E3A1A">
        <w:rPr>
          <w:noProof/>
        </w:rPr>
        <w:fldChar w:fldCharType="end"/>
      </w:r>
      <w:r>
        <w:t xml:space="preserve">. </w:t>
      </w:r>
      <w:r w:rsidRPr="000D648F">
        <w:t xml:space="preserve">Texas </w:t>
      </w:r>
      <w:r w:rsidR="00DD388C">
        <w:t xml:space="preserve">4:3:1:3:3:1:4 </w:t>
      </w:r>
      <w:r w:rsidRPr="000D648F">
        <w:t xml:space="preserve">Vaccine </w:t>
      </w:r>
      <w:r w:rsidR="00DD388C">
        <w:t xml:space="preserve">Series </w:t>
      </w:r>
      <w:r w:rsidRPr="000D648F">
        <w:t xml:space="preserve">Coverage Levels </w:t>
      </w:r>
      <w:r w:rsidR="00233586">
        <w:t>A</w:t>
      </w:r>
      <w:r w:rsidR="001E53B8" w:rsidRPr="000D648F">
        <w:t xml:space="preserve">mong </w:t>
      </w:r>
      <w:r w:rsidRPr="000D648F">
        <w:t>Children 19-35 Months of Age, National Immunization Survey, 2016.</w:t>
      </w:r>
      <w:r w:rsidR="00220146">
        <w:t xml:space="preserve"> </w:t>
      </w:r>
    </w:p>
    <w:p w14:paraId="04F38F30" w14:textId="77777777" w:rsidR="00AF1BE0" w:rsidRDefault="00166EEA" w:rsidP="00580A66">
      <w:pPr>
        <w:pStyle w:val="Caption"/>
      </w:pPr>
      <w:r>
        <w:rPr>
          <w:noProof/>
        </w:rPr>
        <w:drawing>
          <wp:inline distT="0" distB="0" distL="0" distR="0" wp14:anchorId="53A06043" wp14:editId="6BB9E225">
            <wp:extent cx="5915660" cy="2377440"/>
            <wp:effectExtent l="0" t="0" r="8890" b="3810"/>
            <wp:docPr id="7" name="Chart 7" descr="Graph 1.  Texas Vaccine Coverage Levels among Children 19-35 Months of Age, National Immunization Survey, 2016." title="Graph 1. Texas Vaccine Coverage Levels among Children 19-35 Months Old"/>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C8EA59" w14:textId="41E5B19A" w:rsidR="00166EEA" w:rsidRDefault="00A02B50" w:rsidP="00166EEA">
      <w:r>
        <w:rPr>
          <w:rStyle w:val="normaltextrun"/>
          <w:rFonts w:ascii="Verdana" w:eastAsia="Verdana" w:hAnsi="Verdana" w:cs="Verdana"/>
          <w:color w:val="000000"/>
          <w:shd w:val="clear" w:color="auto" w:fill="FFFFFF"/>
        </w:rPr>
        <w:t>In addition to the</w:t>
      </w:r>
      <w:r>
        <w:t xml:space="preserve"> 4:3:1:3:3:1:4 vaccine combination series,</w:t>
      </w:r>
      <w:r>
        <w:rPr>
          <w:rStyle w:val="normaltextrun"/>
          <w:rFonts w:ascii="Verdana" w:eastAsia="Verdana" w:hAnsi="Verdana" w:cs="Verdana"/>
          <w:color w:val="000000"/>
          <w:shd w:val="clear" w:color="auto" w:fill="FFFFFF"/>
        </w:rPr>
        <w:t xml:space="preserve"> NIS-Child also assesses vaccine coverage levels for d</w:t>
      </w:r>
      <w:r w:rsidRPr="00A02B50">
        <w:rPr>
          <w:rStyle w:val="normaltextrun"/>
          <w:rFonts w:ascii="Verdana" w:eastAsia="Verdana" w:hAnsi="Verdana" w:cs="Verdana"/>
          <w:color w:val="000000"/>
          <w:shd w:val="clear" w:color="auto" w:fill="FFFFFF"/>
        </w:rPr>
        <w:t xml:space="preserve">iphtheria, </w:t>
      </w:r>
      <w:r>
        <w:rPr>
          <w:rStyle w:val="normaltextrun"/>
          <w:rFonts w:ascii="Verdana" w:eastAsia="Verdana" w:hAnsi="Verdana" w:cs="Verdana"/>
          <w:color w:val="000000"/>
          <w:shd w:val="clear" w:color="auto" w:fill="FFFFFF"/>
        </w:rPr>
        <w:t>t</w:t>
      </w:r>
      <w:r w:rsidRPr="00A02B50">
        <w:rPr>
          <w:rStyle w:val="normaltextrun"/>
          <w:rFonts w:ascii="Verdana" w:eastAsia="Verdana" w:hAnsi="Verdana" w:cs="Verdana"/>
          <w:color w:val="000000"/>
          <w:shd w:val="clear" w:color="auto" w:fill="FFFFFF"/>
        </w:rPr>
        <w:t xml:space="preserve">etanus, and </w:t>
      </w:r>
      <w:r>
        <w:rPr>
          <w:rStyle w:val="normaltextrun"/>
          <w:rFonts w:ascii="Verdana" w:eastAsia="Verdana" w:hAnsi="Verdana" w:cs="Verdana"/>
          <w:color w:val="000000"/>
          <w:shd w:val="clear" w:color="auto" w:fill="FFFFFF"/>
        </w:rPr>
        <w:t>p</w:t>
      </w:r>
      <w:r w:rsidRPr="00A02B50">
        <w:rPr>
          <w:rStyle w:val="normaltextrun"/>
          <w:rFonts w:ascii="Verdana" w:eastAsia="Verdana" w:hAnsi="Verdana" w:cs="Verdana"/>
          <w:color w:val="000000"/>
          <w:shd w:val="clear" w:color="auto" w:fill="FFFFFF"/>
        </w:rPr>
        <w:t>ertussis (DTaP)</w:t>
      </w:r>
      <w:r>
        <w:rPr>
          <w:rStyle w:val="normaltextrun"/>
          <w:rFonts w:ascii="Verdana" w:eastAsia="Verdana" w:hAnsi="Verdana" w:cs="Verdana"/>
          <w:color w:val="000000"/>
          <w:shd w:val="clear" w:color="auto" w:fill="FFFFFF"/>
        </w:rPr>
        <w:t xml:space="preserve">; </w:t>
      </w:r>
      <w:r w:rsidRPr="00580A66">
        <w:rPr>
          <w:rFonts w:ascii="Verdana" w:eastAsia="Verdana" w:hAnsi="Verdana" w:cs="Verdana"/>
          <w:i/>
          <w:color w:val="000000"/>
          <w:shd w:val="clear" w:color="auto" w:fill="FFFFFF"/>
        </w:rPr>
        <w:t>Haemophilus influenzae</w:t>
      </w:r>
      <w:r w:rsidRPr="00580A66">
        <w:rPr>
          <w:rFonts w:ascii="Verdana" w:eastAsia="Verdana" w:hAnsi="Verdana" w:cs="Verdana"/>
          <w:color w:val="000000"/>
          <w:shd w:val="clear" w:color="auto" w:fill="FFFFFF"/>
        </w:rPr>
        <w:t xml:space="preserve"> type b (Hib)</w:t>
      </w:r>
      <w:r>
        <w:rPr>
          <w:rFonts w:ascii="Verdana" w:eastAsia="Verdana" w:hAnsi="Verdana" w:cs="Verdana"/>
          <w:color w:val="000000"/>
          <w:shd w:val="clear" w:color="auto" w:fill="FFFFFF"/>
        </w:rPr>
        <w:t xml:space="preserve">; hepatitis A (Hep A); hepatitis B (Hep B); the </w:t>
      </w:r>
      <w:r w:rsidR="00BF56E2">
        <w:rPr>
          <w:rFonts w:ascii="Verdana" w:eastAsia="Verdana" w:hAnsi="Verdana" w:cs="Verdana"/>
          <w:color w:val="000000"/>
          <w:shd w:val="clear" w:color="auto" w:fill="FFFFFF"/>
        </w:rPr>
        <w:t>h</w:t>
      </w:r>
      <w:r>
        <w:rPr>
          <w:rFonts w:ascii="Verdana" w:eastAsia="Verdana" w:hAnsi="Verdana" w:cs="Verdana"/>
          <w:color w:val="000000"/>
          <w:shd w:val="clear" w:color="auto" w:fill="FFFFFF"/>
        </w:rPr>
        <w:t>epatitis B birth dose;</w:t>
      </w:r>
      <w:r>
        <w:rPr>
          <w:rStyle w:val="normaltextrun"/>
          <w:rFonts w:ascii="Verdana" w:eastAsia="Verdana" w:hAnsi="Verdana" w:cs="Verdana"/>
          <w:color w:val="000000"/>
          <w:shd w:val="clear" w:color="auto" w:fill="FFFFFF"/>
        </w:rPr>
        <w:t xml:space="preserve"> </w:t>
      </w:r>
      <w:r w:rsidR="00DB4CF5">
        <w:rPr>
          <w:rStyle w:val="normaltextrun"/>
          <w:rFonts w:ascii="Verdana" w:eastAsia="Verdana" w:hAnsi="Verdana" w:cs="Verdana"/>
          <w:color w:val="000000"/>
          <w:shd w:val="clear" w:color="auto" w:fill="FFFFFF"/>
        </w:rPr>
        <w:t>measles</w:t>
      </w:r>
      <w:r w:rsidR="00BF56E2">
        <w:rPr>
          <w:rStyle w:val="normaltextrun"/>
          <w:rFonts w:ascii="Verdana" w:eastAsia="Verdana" w:hAnsi="Verdana" w:cs="Verdana"/>
          <w:color w:val="000000"/>
          <w:shd w:val="clear" w:color="auto" w:fill="FFFFFF"/>
        </w:rPr>
        <w:t>,</w:t>
      </w:r>
      <w:r w:rsidR="00DB4CF5">
        <w:rPr>
          <w:rStyle w:val="normaltextrun"/>
          <w:rFonts w:ascii="Verdana" w:eastAsia="Verdana" w:hAnsi="Verdana" w:cs="Verdana"/>
          <w:color w:val="000000"/>
          <w:shd w:val="clear" w:color="auto" w:fill="FFFFFF"/>
        </w:rPr>
        <w:t xml:space="preserve"> </w:t>
      </w:r>
      <w:r w:rsidRPr="00436B6F">
        <w:rPr>
          <w:rStyle w:val="normaltextrun"/>
          <w:rFonts w:ascii="Verdana" w:eastAsia="Verdana" w:hAnsi="Verdana" w:cs="Verdana"/>
          <w:color w:val="000000"/>
          <w:shd w:val="clear" w:color="auto" w:fill="FFFFFF"/>
        </w:rPr>
        <w:t>mumps</w:t>
      </w:r>
      <w:r w:rsidR="00DB4CF5">
        <w:rPr>
          <w:rStyle w:val="normaltextrun"/>
          <w:rFonts w:ascii="Verdana" w:eastAsia="Verdana" w:hAnsi="Verdana" w:cs="Verdana"/>
          <w:color w:val="000000"/>
          <w:shd w:val="clear" w:color="auto" w:fill="FFFFFF"/>
        </w:rPr>
        <w:t>, and</w:t>
      </w:r>
      <w:r w:rsidR="000818C1">
        <w:rPr>
          <w:rStyle w:val="normaltextrun"/>
          <w:rFonts w:ascii="Verdana" w:eastAsia="Verdana" w:hAnsi="Verdana" w:cs="Verdana"/>
          <w:color w:val="000000"/>
          <w:shd w:val="clear" w:color="auto" w:fill="FFFFFF"/>
        </w:rPr>
        <w:t xml:space="preserve"> </w:t>
      </w:r>
      <w:r w:rsidRPr="00436B6F">
        <w:rPr>
          <w:rStyle w:val="normaltextrun"/>
          <w:rFonts w:ascii="Verdana" w:eastAsia="Verdana" w:hAnsi="Verdana" w:cs="Verdana"/>
          <w:color w:val="000000"/>
          <w:shd w:val="clear" w:color="auto" w:fill="FFFFFF"/>
        </w:rPr>
        <w:t>rubella (MMR)</w:t>
      </w:r>
      <w:r>
        <w:rPr>
          <w:rStyle w:val="normaltextrun"/>
          <w:rFonts w:ascii="Verdana" w:eastAsia="Verdana" w:hAnsi="Verdana" w:cs="Verdana"/>
          <w:color w:val="000000"/>
          <w:shd w:val="clear" w:color="auto" w:fill="FFFFFF"/>
        </w:rPr>
        <w:t>; p</w:t>
      </w:r>
      <w:r w:rsidRPr="00580A66">
        <w:rPr>
          <w:rFonts w:ascii="Verdana" w:eastAsia="Verdana" w:hAnsi="Verdana" w:cs="Verdana"/>
          <w:color w:val="000000"/>
          <w:shd w:val="clear" w:color="auto" w:fill="FFFFFF"/>
        </w:rPr>
        <w:t xml:space="preserve">neumococcal </w:t>
      </w:r>
      <w:r>
        <w:rPr>
          <w:rFonts w:ascii="Verdana" w:eastAsia="Verdana" w:hAnsi="Verdana" w:cs="Verdana"/>
          <w:color w:val="000000"/>
          <w:shd w:val="clear" w:color="auto" w:fill="FFFFFF"/>
        </w:rPr>
        <w:t>c</w:t>
      </w:r>
      <w:r w:rsidRPr="00580A66">
        <w:rPr>
          <w:rFonts w:ascii="Verdana" w:eastAsia="Verdana" w:hAnsi="Verdana" w:cs="Verdana"/>
          <w:color w:val="000000"/>
          <w:shd w:val="clear" w:color="auto" w:fill="FFFFFF"/>
        </w:rPr>
        <w:t>onjugate (PCV)</w:t>
      </w:r>
      <w:r>
        <w:rPr>
          <w:rFonts w:ascii="Verdana" w:eastAsia="Verdana" w:hAnsi="Verdana" w:cs="Verdana"/>
          <w:color w:val="000000"/>
          <w:shd w:val="clear" w:color="auto" w:fill="FFFFFF"/>
        </w:rPr>
        <w:t>; p</w:t>
      </w:r>
      <w:r w:rsidRPr="00580A66">
        <w:t>olio</w:t>
      </w:r>
      <w:r>
        <w:t>;</w:t>
      </w:r>
      <w:r w:rsidR="00F37717">
        <w:t xml:space="preserve"> rotavirus;</w:t>
      </w:r>
      <w:r>
        <w:t xml:space="preserve"> and </w:t>
      </w:r>
      <w:r w:rsidRPr="00436B6F">
        <w:rPr>
          <w:rStyle w:val="normaltextrun"/>
          <w:rFonts w:ascii="Verdana" w:eastAsia="Verdana" w:hAnsi="Verdana" w:cs="Verdana"/>
          <w:color w:val="000000"/>
          <w:shd w:val="clear" w:color="auto" w:fill="FFFFFF"/>
        </w:rPr>
        <w:t>varicella (chickenpox)</w:t>
      </w:r>
      <w:r>
        <w:rPr>
          <w:rStyle w:val="normaltextrun"/>
          <w:rFonts w:ascii="Verdana" w:eastAsia="Verdana" w:hAnsi="Verdana" w:cs="Verdana"/>
          <w:color w:val="000000"/>
          <w:shd w:val="clear" w:color="auto" w:fill="FFFFFF"/>
        </w:rPr>
        <w:t xml:space="preserve">. </w:t>
      </w:r>
      <w:r w:rsidR="00436B6F" w:rsidRPr="00436B6F">
        <w:rPr>
          <w:rStyle w:val="normaltextrun"/>
          <w:rFonts w:ascii="Verdana" w:eastAsia="Verdana" w:hAnsi="Verdana" w:cs="Verdana"/>
          <w:color w:val="000000"/>
          <w:shd w:val="clear" w:color="auto" w:fill="FFFFFF"/>
        </w:rPr>
        <w:t>The state as</w:t>
      </w:r>
      <w:r w:rsidR="00233586">
        <w:rPr>
          <w:rStyle w:val="normaltextrun"/>
          <w:rFonts w:ascii="Verdana" w:eastAsia="Verdana" w:hAnsi="Verdana" w:cs="Verdana"/>
          <w:color w:val="000000"/>
          <w:shd w:val="clear" w:color="auto" w:fill="FFFFFF"/>
        </w:rPr>
        <w:t>-</w:t>
      </w:r>
      <w:r w:rsidR="00436B6F" w:rsidRPr="00436B6F">
        <w:rPr>
          <w:rStyle w:val="normaltextrun"/>
          <w:rFonts w:ascii="Verdana" w:eastAsia="Verdana" w:hAnsi="Verdana" w:cs="Verdana"/>
          <w:color w:val="000000"/>
          <w:shd w:val="clear" w:color="auto" w:fill="FFFFFF"/>
        </w:rPr>
        <w:t>a</w:t>
      </w:r>
      <w:r w:rsidR="00233586">
        <w:rPr>
          <w:rStyle w:val="normaltextrun"/>
          <w:rFonts w:ascii="Verdana" w:eastAsia="Verdana" w:hAnsi="Verdana" w:cs="Verdana"/>
          <w:color w:val="000000"/>
          <w:shd w:val="clear" w:color="auto" w:fill="FFFFFF"/>
        </w:rPr>
        <w:t>-</w:t>
      </w:r>
      <w:r w:rsidR="00436B6F" w:rsidRPr="00436B6F">
        <w:rPr>
          <w:rStyle w:val="normaltextrun"/>
          <w:rFonts w:ascii="Verdana" w:eastAsia="Verdana" w:hAnsi="Verdana" w:cs="Verdana"/>
          <w:color w:val="000000"/>
          <w:shd w:val="clear" w:color="auto" w:fill="FFFFFF"/>
        </w:rPr>
        <w:t xml:space="preserve">whole saw coverage </w:t>
      </w:r>
      <w:r w:rsidR="009974B5">
        <w:rPr>
          <w:rStyle w:val="normaltextrun"/>
          <w:rFonts w:ascii="Verdana" w:eastAsia="Verdana" w:hAnsi="Verdana" w:cs="Verdana"/>
          <w:color w:val="000000"/>
          <w:shd w:val="clear" w:color="auto" w:fill="FFFFFF"/>
        </w:rPr>
        <w:t>rates</w:t>
      </w:r>
      <w:r w:rsidR="00436B6F" w:rsidRPr="00436B6F">
        <w:rPr>
          <w:rStyle w:val="normaltextrun"/>
          <w:rFonts w:ascii="Verdana" w:eastAsia="Verdana" w:hAnsi="Verdana" w:cs="Verdana"/>
          <w:color w:val="000000"/>
          <w:shd w:val="clear" w:color="auto" w:fill="FFFFFF"/>
        </w:rPr>
        <w:t xml:space="preserve"> close to or exceed</w:t>
      </w:r>
      <w:r w:rsidR="00BF56E2">
        <w:rPr>
          <w:rStyle w:val="normaltextrun"/>
          <w:rFonts w:ascii="Verdana" w:eastAsia="Verdana" w:hAnsi="Verdana" w:cs="Verdana"/>
          <w:color w:val="000000"/>
          <w:shd w:val="clear" w:color="auto" w:fill="FFFFFF"/>
        </w:rPr>
        <w:t>ing</w:t>
      </w:r>
      <w:r w:rsidR="00436B6F" w:rsidRPr="00436B6F">
        <w:rPr>
          <w:rStyle w:val="normaltextrun"/>
          <w:rFonts w:ascii="Verdana" w:eastAsia="Verdana" w:hAnsi="Verdana" w:cs="Verdana"/>
          <w:color w:val="000000"/>
          <w:shd w:val="clear" w:color="auto" w:fill="FFFFFF"/>
        </w:rPr>
        <w:t xml:space="preserve"> 90 percent for </w:t>
      </w:r>
      <w:r w:rsidR="009974B5" w:rsidRPr="00436B6F">
        <w:rPr>
          <w:rStyle w:val="normaltextrun"/>
          <w:rFonts w:ascii="Verdana" w:eastAsia="Verdana" w:hAnsi="Verdana" w:cs="Verdana"/>
          <w:color w:val="000000"/>
          <w:shd w:val="clear" w:color="auto" w:fill="FFFFFF"/>
        </w:rPr>
        <w:t xml:space="preserve">the recommended </w:t>
      </w:r>
      <w:r w:rsidR="009974B5">
        <w:rPr>
          <w:rStyle w:val="normaltextrun"/>
          <w:rFonts w:ascii="Verdana" w:eastAsia="Verdana" w:hAnsi="Verdana" w:cs="Verdana"/>
          <w:color w:val="000000"/>
          <w:shd w:val="clear" w:color="auto" w:fill="FFFFFF"/>
        </w:rPr>
        <w:t xml:space="preserve">number of </w:t>
      </w:r>
      <w:r w:rsidR="009974B5" w:rsidRPr="00436B6F">
        <w:rPr>
          <w:rStyle w:val="normaltextrun"/>
          <w:rFonts w:ascii="Verdana" w:eastAsia="Verdana" w:hAnsi="Verdana" w:cs="Verdana"/>
          <w:color w:val="000000"/>
          <w:shd w:val="clear" w:color="auto" w:fill="FFFFFF"/>
        </w:rPr>
        <w:t xml:space="preserve">doses of </w:t>
      </w:r>
      <w:r w:rsidR="009974B5">
        <w:rPr>
          <w:rStyle w:val="normaltextrun"/>
          <w:rFonts w:ascii="Verdana" w:eastAsia="Verdana" w:hAnsi="Verdana" w:cs="Verdana"/>
          <w:color w:val="000000"/>
          <w:shd w:val="clear" w:color="auto" w:fill="FFFFFF"/>
        </w:rPr>
        <w:t xml:space="preserve">the </w:t>
      </w:r>
      <w:r w:rsidR="00436B6F" w:rsidRPr="00436B6F">
        <w:rPr>
          <w:rStyle w:val="normaltextrun"/>
          <w:rFonts w:ascii="Verdana" w:eastAsia="Verdana" w:hAnsi="Verdana" w:cs="Verdana"/>
          <w:color w:val="000000"/>
          <w:shd w:val="clear" w:color="auto" w:fill="FFFFFF"/>
        </w:rPr>
        <w:t xml:space="preserve">poliovirus vaccine </w:t>
      </w:r>
      <w:r w:rsidR="009974B5">
        <w:rPr>
          <w:rStyle w:val="normaltextrun"/>
          <w:rFonts w:ascii="Verdana" w:eastAsia="Verdana" w:hAnsi="Verdana" w:cs="Verdana"/>
          <w:color w:val="000000"/>
          <w:shd w:val="clear" w:color="auto" w:fill="FFFFFF"/>
        </w:rPr>
        <w:t>(</w:t>
      </w:r>
      <w:r w:rsidR="00436B6F" w:rsidRPr="00436B6F">
        <w:rPr>
          <w:rStyle w:val="normaltextrun"/>
          <w:rFonts w:ascii="Verdana" w:eastAsia="Verdana" w:hAnsi="Verdana" w:cs="Verdana"/>
          <w:color w:val="000000"/>
          <w:shd w:val="clear" w:color="auto" w:fill="FFFFFF"/>
        </w:rPr>
        <w:t>90.1 percent</w:t>
      </w:r>
      <w:r w:rsidR="009974B5">
        <w:rPr>
          <w:rStyle w:val="normaltextrun"/>
          <w:rFonts w:ascii="Verdana" w:eastAsia="Verdana" w:hAnsi="Verdana" w:cs="Verdana"/>
          <w:color w:val="000000"/>
          <w:shd w:val="clear" w:color="auto" w:fill="FFFFFF"/>
        </w:rPr>
        <w:t>)</w:t>
      </w:r>
      <w:r w:rsidR="00436B6F" w:rsidRPr="00436B6F">
        <w:rPr>
          <w:rStyle w:val="normaltextrun"/>
          <w:rFonts w:ascii="Verdana" w:eastAsia="Verdana" w:hAnsi="Verdana" w:cs="Verdana"/>
          <w:color w:val="000000"/>
          <w:shd w:val="clear" w:color="auto" w:fill="FFFFFF"/>
        </w:rPr>
        <w:t xml:space="preserve">, varicella </w:t>
      </w:r>
      <w:r w:rsidR="001E53B8">
        <w:rPr>
          <w:rStyle w:val="normaltextrun"/>
          <w:rFonts w:ascii="Verdana" w:eastAsia="Verdana" w:hAnsi="Verdana" w:cs="Verdana"/>
          <w:color w:val="000000"/>
          <w:shd w:val="clear" w:color="auto" w:fill="FFFFFF"/>
        </w:rPr>
        <w:t xml:space="preserve">vaccine </w:t>
      </w:r>
      <w:r w:rsidR="009974B5">
        <w:rPr>
          <w:rStyle w:val="normaltextrun"/>
          <w:rFonts w:ascii="Verdana" w:eastAsia="Verdana" w:hAnsi="Verdana" w:cs="Verdana"/>
          <w:color w:val="000000"/>
          <w:shd w:val="clear" w:color="auto" w:fill="FFFFFF"/>
        </w:rPr>
        <w:t>(</w:t>
      </w:r>
      <w:r w:rsidR="00436B6F" w:rsidRPr="00436B6F">
        <w:rPr>
          <w:rStyle w:val="normaltextrun"/>
          <w:rFonts w:ascii="Verdana" w:eastAsia="Verdana" w:hAnsi="Verdana" w:cs="Verdana"/>
          <w:color w:val="000000"/>
          <w:shd w:val="clear" w:color="auto" w:fill="FFFFFF"/>
        </w:rPr>
        <w:t>90.4 percent</w:t>
      </w:r>
      <w:r w:rsidR="009974B5">
        <w:rPr>
          <w:rStyle w:val="normaltextrun"/>
          <w:rFonts w:ascii="Verdana" w:eastAsia="Verdana" w:hAnsi="Verdana" w:cs="Verdana"/>
          <w:color w:val="000000"/>
          <w:shd w:val="clear" w:color="auto" w:fill="FFFFFF"/>
        </w:rPr>
        <w:t>)</w:t>
      </w:r>
      <w:r w:rsidR="00436B6F" w:rsidRPr="00436B6F">
        <w:rPr>
          <w:rStyle w:val="normaltextrun"/>
          <w:rFonts w:ascii="Verdana" w:eastAsia="Verdana" w:hAnsi="Verdana" w:cs="Verdana"/>
          <w:color w:val="000000"/>
          <w:shd w:val="clear" w:color="auto" w:fill="FFFFFF"/>
        </w:rPr>
        <w:t xml:space="preserve">, and MMR </w:t>
      </w:r>
      <w:r w:rsidR="001E53B8">
        <w:rPr>
          <w:rStyle w:val="normaltextrun"/>
          <w:rFonts w:ascii="Verdana" w:eastAsia="Verdana" w:hAnsi="Verdana" w:cs="Verdana"/>
          <w:color w:val="000000"/>
          <w:shd w:val="clear" w:color="auto" w:fill="FFFFFF"/>
        </w:rPr>
        <w:t xml:space="preserve">vaccine </w:t>
      </w:r>
      <w:r w:rsidR="009974B5">
        <w:rPr>
          <w:rStyle w:val="normaltextrun"/>
          <w:rFonts w:ascii="Verdana" w:eastAsia="Verdana" w:hAnsi="Verdana" w:cs="Verdana"/>
          <w:color w:val="000000"/>
          <w:shd w:val="clear" w:color="auto" w:fill="FFFFFF"/>
        </w:rPr>
        <w:t>(</w:t>
      </w:r>
      <w:r w:rsidR="00436B6F" w:rsidRPr="00436B6F">
        <w:rPr>
          <w:rStyle w:val="normaltextrun"/>
          <w:rFonts w:ascii="Verdana" w:eastAsia="Verdana" w:hAnsi="Verdana" w:cs="Verdana"/>
          <w:color w:val="000000"/>
          <w:shd w:val="clear" w:color="auto" w:fill="FFFFFF"/>
        </w:rPr>
        <w:t>89.8 percent</w:t>
      </w:r>
      <w:r w:rsidR="009974B5">
        <w:rPr>
          <w:rStyle w:val="normaltextrun"/>
          <w:rFonts w:ascii="Verdana" w:eastAsia="Verdana" w:hAnsi="Verdana" w:cs="Verdana"/>
          <w:color w:val="000000"/>
          <w:shd w:val="clear" w:color="auto" w:fill="FFFFFF"/>
        </w:rPr>
        <w:t>)</w:t>
      </w:r>
      <w:r w:rsidR="00436B6F" w:rsidRPr="00436B6F">
        <w:rPr>
          <w:rStyle w:val="normaltextrun"/>
          <w:rFonts w:ascii="Verdana" w:eastAsia="Verdana" w:hAnsi="Verdana" w:cs="Verdana"/>
          <w:color w:val="000000"/>
          <w:shd w:val="clear" w:color="auto" w:fill="FFFFFF"/>
        </w:rPr>
        <w:t xml:space="preserve">. In the </w:t>
      </w:r>
      <w:r w:rsidR="00436B6F">
        <w:rPr>
          <w:rStyle w:val="normaltextrun"/>
          <w:rFonts w:ascii="Verdana" w:eastAsia="Verdana" w:hAnsi="Verdana" w:cs="Verdana"/>
          <w:color w:val="000000"/>
          <w:shd w:val="clear" w:color="auto" w:fill="FFFFFF"/>
        </w:rPr>
        <w:t>selected urban areas</w:t>
      </w:r>
      <w:r w:rsidR="00436B6F" w:rsidRPr="00436B6F">
        <w:rPr>
          <w:rStyle w:val="normaltextrun"/>
          <w:rFonts w:ascii="Verdana" w:eastAsia="Verdana" w:hAnsi="Verdana" w:cs="Verdana"/>
          <w:color w:val="000000"/>
          <w:shd w:val="clear" w:color="auto" w:fill="FFFFFF"/>
        </w:rPr>
        <w:t xml:space="preserve">, coverage </w:t>
      </w:r>
      <w:r w:rsidR="009974B5">
        <w:rPr>
          <w:rStyle w:val="normaltextrun"/>
          <w:rFonts w:ascii="Verdana" w:eastAsia="Verdana" w:hAnsi="Verdana" w:cs="Verdana"/>
          <w:color w:val="000000"/>
          <w:shd w:val="clear" w:color="auto" w:fill="FFFFFF"/>
        </w:rPr>
        <w:t>was</w:t>
      </w:r>
      <w:r w:rsidR="00436B6F" w:rsidRPr="00436B6F">
        <w:rPr>
          <w:rStyle w:val="normaltextrun"/>
          <w:rFonts w:ascii="Verdana" w:eastAsia="Verdana" w:hAnsi="Verdana" w:cs="Verdana"/>
          <w:color w:val="000000"/>
          <w:shd w:val="clear" w:color="auto" w:fill="FFFFFF"/>
        </w:rPr>
        <w:t xml:space="preserve"> at or above 90 percent for the recommended doses of polio, varicella (chickenpox), and the MMR combination vaccine.</w:t>
      </w:r>
      <w:r w:rsidR="00436B6F">
        <w:rPr>
          <w:rStyle w:val="normaltextrun"/>
          <w:rFonts w:ascii="Verdana" w:eastAsia="Verdana" w:hAnsi="Verdana" w:cs="Verdana"/>
          <w:color w:val="000000"/>
          <w:shd w:val="clear" w:color="auto" w:fill="FFFFFF"/>
        </w:rPr>
        <w:t xml:space="preserve"> </w:t>
      </w:r>
      <w:r w:rsidR="00C10405">
        <w:rPr>
          <w:rStyle w:val="normaltextrun"/>
          <w:rFonts w:ascii="Verdana" w:eastAsia="Verdana" w:hAnsi="Verdana" w:cs="Verdana"/>
          <w:color w:val="000000"/>
          <w:shd w:val="clear" w:color="auto" w:fill="FFFFFF"/>
        </w:rPr>
        <w:t>Table 1 below</w:t>
      </w:r>
      <w:r w:rsidR="00CA1748" w:rsidRPr="000A4C31">
        <w:rPr>
          <w:rStyle w:val="normaltextrun"/>
          <w:rFonts w:ascii="Verdana" w:eastAsia="Verdana" w:hAnsi="Verdana" w:cs="Verdana"/>
          <w:color w:val="000000"/>
          <w:shd w:val="clear" w:color="auto" w:fill="FFFFFF"/>
        </w:rPr>
        <w:t xml:space="preserve"> provides vaccine coverage levels for</w:t>
      </w:r>
      <w:r w:rsidR="00436B6F">
        <w:rPr>
          <w:rStyle w:val="normaltextrun"/>
          <w:rFonts w:ascii="Verdana" w:eastAsia="Verdana" w:hAnsi="Verdana" w:cs="Verdana"/>
          <w:color w:val="000000"/>
          <w:shd w:val="clear" w:color="auto" w:fill="FFFFFF"/>
        </w:rPr>
        <w:t xml:space="preserve"> </w:t>
      </w:r>
      <w:r w:rsidR="007011D2">
        <w:rPr>
          <w:rStyle w:val="normaltextrun"/>
          <w:rFonts w:ascii="Verdana" w:eastAsia="Verdana" w:hAnsi="Verdana" w:cs="Verdana"/>
          <w:color w:val="000000"/>
          <w:shd w:val="clear" w:color="auto" w:fill="FFFFFF"/>
        </w:rPr>
        <w:t>each vaccine</w:t>
      </w:r>
      <w:r w:rsidR="00436B6F">
        <w:rPr>
          <w:rStyle w:val="normaltextrun"/>
          <w:rFonts w:ascii="Verdana" w:eastAsia="Verdana" w:hAnsi="Verdana" w:cs="Verdana"/>
          <w:color w:val="000000"/>
          <w:shd w:val="clear" w:color="auto" w:fill="FFFFFF"/>
        </w:rPr>
        <w:t xml:space="preserve"> </w:t>
      </w:r>
      <w:r w:rsidR="00CA1748" w:rsidRPr="000A4C31">
        <w:rPr>
          <w:rStyle w:val="normaltextrun"/>
          <w:rFonts w:ascii="Verdana" w:eastAsia="Verdana" w:hAnsi="Verdana" w:cs="Verdana"/>
          <w:color w:val="000000"/>
          <w:shd w:val="clear" w:color="auto" w:fill="FFFFFF"/>
        </w:rPr>
        <w:t>measured by NIS-Child.</w:t>
      </w:r>
    </w:p>
    <w:p w14:paraId="4CD31DDD" w14:textId="7A121DE3" w:rsidR="00FF01E4" w:rsidRDefault="00FF01E4" w:rsidP="004B4F5D">
      <w:pPr>
        <w:pStyle w:val="Caption"/>
      </w:pPr>
      <w:r>
        <w:t xml:space="preserve">Table </w:t>
      </w:r>
      <w:r w:rsidR="008E3A1A">
        <w:rPr>
          <w:noProof/>
        </w:rPr>
        <w:fldChar w:fldCharType="begin"/>
      </w:r>
      <w:r w:rsidR="008E3A1A">
        <w:rPr>
          <w:noProof/>
        </w:rPr>
        <w:instrText xml:space="preserve"> SEQ Table \* ARABIC </w:instrText>
      </w:r>
      <w:r w:rsidR="008E3A1A">
        <w:rPr>
          <w:noProof/>
        </w:rPr>
        <w:fldChar w:fldCharType="separate"/>
      </w:r>
      <w:r w:rsidR="0057330E">
        <w:rPr>
          <w:noProof/>
        </w:rPr>
        <w:t>1</w:t>
      </w:r>
      <w:r w:rsidR="008E3A1A">
        <w:rPr>
          <w:noProof/>
        </w:rPr>
        <w:fldChar w:fldCharType="end"/>
      </w:r>
      <w:r>
        <w:t xml:space="preserve">. </w:t>
      </w:r>
      <w:r w:rsidRPr="00970021">
        <w:t xml:space="preserve">Vaccine Coverage Levels </w:t>
      </w:r>
      <w:r w:rsidR="009974B5">
        <w:t>A</w:t>
      </w:r>
      <w:r w:rsidRPr="00970021">
        <w:t>mong Texas Children 19-35 Months of Age by Selected Vaccines, National Immunization Survey, 2016.</w:t>
      </w:r>
    </w:p>
    <w:tbl>
      <w:tblPr>
        <w:tblStyle w:val="HHSTableforTextData"/>
        <w:tblW w:w="0" w:type="auto"/>
        <w:tblLook w:val="04A0" w:firstRow="1" w:lastRow="0" w:firstColumn="1" w:lastColumn="0" w:noHBand="0" w:noVBand="1"/>
        <w:tblCaption w:val="Table 1.  Texas Vaccine Coverage Levels among Children 19-35 Months of Age by Selected Vaccines"/>
        <w:tblDescription w:val="Table 1.  Texas Vaccine Coverage Levels among Children 19-35 Months of Age by Selected Vaccines, National Immunization Survey, 2016."/>
      </w:tblPr>
      <w:tblGrid>
        <w:gridCol w:w="1883"/>
        <w:gridCol w:w="1074"/>
        <w:gridCol w:w="1074"/>
        <w:gridCol w:w="1444"/>
        <w:gridCol w:w="1287"/>
        <w:gridCol w:w="1307"/>
        <w:gridCol w:w="1291"/>
      </w:tblGrid>
      <w:tr w:rsidR="00FF01E4" w:rsidRPr="00FF01E4" w14:paraId="6C272EE2" w14:textId="77777777" w:rsidTr="006E14EA">
        <w:trPr>
          <w:cnfStyle w:val="100000000000" w:firstRow="1" w:lastRow="0" w:firstColumn="0" w:lastColumn="0" w:oddVBand="0" w:evenVBand="0" w:oddHBand="0" w:evenHBand="0" w:firstRowFirstColumn="0" w:firstRowLastColumn="0" w:lastRowFirstColumn="0" w:lastRowLastColumn="0"/>
          <w:trHeight w:val="20"/>
        </w:trPr>
        <w:tc>
          <w:tcPr>
            <w:tcW w:w="0" w:type="auto"/>
            <w:tcMar>
              <w:top w:w="115" w:type="dxa"/>
              <w:left w:w="202" w:type="dxa"/>
              <w:right w:w="202" w:type="dxa"/>
            </w:tcMar>
            <w:vAlign w:val="bottom"/>
          </w:tcPr>
          <w:p w14:paraId="5A2D96B4" w14:textId="77777777" w:rsidR="00685D19" w:rsidRPr="00FF01E4" w:rsidRDefault="5DDCF1D8" w:rsidP="00975077">
            <w:pPr>
              <w:pStyle w:val="BodyText"/>
              <w:spacing w:before="0"/>
            </w:pPr>
            <w:r w:rsidRPr="00FF01E4">
              <w:t>Vaccine</w:t>
            </w:r>
          </w:p>
        </w:tc>
        <w:tc>
          <w:tcPr>
            <w:tcW w:w="0" w:type="auto"/>
            <w:tcMar>
              <w:top w:w="115" w:type="dxa"/>
              <w:left w:w="202" w:type="dxa"/>
              <w:right w:w="202" w:type="dxa"/>
            </w:tcMar>
            <w:vAlign w:val="bottom"/>
          </w:tcPr>
          <w:p w14:paraId="21FB550E" w14:textId="77777777" w:rsidR="00685D19" w:rsidRPr="00FF01E4" w:rsidRDefault="5DDCF1D8" w:rsidP="00975077">
            <w:pPr>
              <w:pStyle w:val="BodyText"/>
              <w:spacing w:before="0"/>
            </w:pPr>
            <w:r w:rsidRPr="00FF01E4">
              <w:t>U</w:t>
            </w:r>
            <w:r w:rsidR="00537773">
              <w:t>.</w:t>
            </w:r>
            <w:r w:rsidRPr="00FF01E4">
              <w:t>S</w:t>
            </w:r>
            <w:r w:rsidR="00537773">
              <w:t>.</w:t>
            </w:r>
          </w:p>
        </w:tc>
        <w:tc>
          <w:tcPr>
            <w:tcW w:w="0" w:type="auto"/>
            <w:tcMar>
              <w:top w:w="115" w:type="dxa"/>
              <w:left w:w="202" w:type="dxa"/>
              <w:right w:w="202" w:type="dxa"/>
            </w:tcMar>
            <w:vAlign w:val="bottom"/>
          </w:tcPr>
          <w:p w14:paraId="41FAAF83" w14:textId="77777777" w:rsidR="00685D19" w:rsidRPr="00FF01E4" w:rsidRDefault="5DDCF1D8" w:rsidP="00975077">
            <w:pPr>
              <w:pStyle w:val="BodyText"/>
              <w:spacing w:before="0"/>
            </w:pPr>
            <w:r w:rsidRPr="00FF01E4">
              <w:t>TX</w:t>
            </w:r>
          </w:p>
        </w:tc>
        <w:tc>
          <w:tcPr>
            <w:tcW w:w="0" w:type="auto"/>
            <w:tcMar>
              <w:top w:w="115" w:type="dxa"/>
              <w:left w:w="202" w:type="dxa"/>
              <w:right w:w="202" w:type="dxa"/>
            </w:tcMar>
            <w:vAlign w:val="bottom"/>
          </w:tcPr>
          <w:p w14:paraId="492BFB9F" w14:textId="77777777" w:rsidR="00685D19" w:rsidRPr="00FF01E4" w:rsidRDefault="5DDCF1D8" w:rsidP="00975077">
            <w:pPr>
              <w:pStyle w:val="BodyText"/>
              <w:spacing w:before="0"/>
            </w:pPr>
            <w:r w:rsidRPr="00FF01E4">
              <w:t>City of Houston</w:t>
            </w:r>
          </w:p>
        </w:tc>
        <w:tc>
          <w:tcPr>
            <w:tcW w:w="0" w:type="auto"/>
            <w:tcMar>
              <w:top w:w="115" w:type="dxa"/>
              <w:left w:w="202" w:type="dxa"/>
              <w:right w:w="202" w:type="dxa"/>
            </w:tcMar>
            <w:vAlign w:val="bottom"/>
          </w:tcPr>
          <w:p w14:paraId="3760E418" w14:textId="77777777" w:rsidR="00685D19" w:rsidRPr="00FF01E4" w:rsidRDefault="5DDCF1D8" w:rsidP="00975077">
            <w:pPr>
              <w:pStyle w:val="BodyText"/>
              <w:spacing w:before="0"/>
            </w:pPr>
            <w:r w:rsidRPr="00FF01E4">
              <w:t>Bexar County</w:t>
            </w:r>
          </w:p>
        </w:tc>
        <w:tc>
          <w:tcPr>
            <w:tcW w:w="0" w:type="auto"/>
            <w:tcMar>
              <w:top w:w="115" w:type="dxa"/>
              <w:left w:w="202" w:type="dxa"/>
              <w:right w:w="202" w:type="dxa"/>
            </w:tcMar>
            <w:vAlign w:val="bottom"/>
          </w:tcPr>
          <w:p w14:paraId="1B1B44B0" w14:textId="77777777" w:rsidR="00685D19" w:rsidRPr="00FF01E4" w:rsidRDefault="5DDCF1D8" w:rsidP="00975077">
            <w:pPr>
              <w:pStyle w:val="BodyText"/>
              <w:spacing w:before="0"/>
            </w:pPr>
            <w:r w:rsidRPr="00FF01E4">
              <w:t>El Paso County</w:t>
            </w:r>
          </w:p>
        </w:tc>
        <w:tc>
          <w:tcPr>
            <w:tcW w:w="0" w:type="auto"/>
            <w:tcMar>
              <w:top w:w="115" w:type="dxa"/>
              <w:left w:w="202" w:type="dxa"/>
              <w:right w:w="202" w:type="dxa"/>
            </w:tcMar>
            <w:vAlign w:val="bottom"/>
          </w:tcPr>
          <w:p w14:paraId="0026D0DC" w14:textId="77777777" w:rsidR="00685D19" w:rsidRPr="00FF01E4" w:rsidRDefault="5DDCF1D8" w:rsidP="00975077">
            <w:pPr>
              <w:pStyle w:val="BodyText"/>
              <w:spacing w:before="0"/>
            </w:pPr>
            <w:r w:rsidRPr="00FF01E4">
              <w:t>Dallas County</w:t>
            </w:r>
          </w:p>
        </w:tc>
      </w:tr>
      <w:tr w:rsidR="009974B5" w:rsidRPr="00FF01E4" w14:paraId="7356254B" w14:textId="77777777" w:rsidTr="00BA0F8E">
        <w:trPr>
          <w:trHeight w:val="475"/>
        </w:trPr>
        <w:tc>
          <w:tcPr>
            <w:tcW w:w="0" w:type="auto"/>
            <w:shd w:val="clear" w:color="auto" w:fill="auto"/>
            <w:tcMar>
              <w:top w:w="115" w:type="dxa"/>
              <w:left w:w="202" w:type="dxa"/>
              <w:right w:w="202" w:type="dxa"/>
            </w:tcMar>
            <w:vAlign w:val="center"/>
          </w:tcPr>
          <w:p w14:paraId="363E7F54" w14:textId="77777777" w:rsidR="009974B5" w:rsidRPr="00975077" w:rsidRDefault="009974B5" w:rsidP="009974B5">
            <w:pPr>
              <w:pStyle w:val="BodyText"/>
              <w:spacing w:before="0"/>
              <w:jc w:val="center"/>
              <w:rPr>
                <w:b/>
              </w:rPr>
            </w:pPr>
            <w:r w:rsidRPr="00975077">
              <w:rPr>
                <w:b/>
              </w:rPr>
              <w:t>4:3:1:3:3:1:4</w:t>
            </w:r>
          </w:p>
        </w:tc>
        <w:tc>
          <w:tcPr>
            <w:tcW w:w="0" w:type="auto"/>
            <w:shd w:val="clear" w:color="auto" w:fill="auto"/>
            <w:tcMar>
              <w:top w:w="115" w:type="dxa"/>
              <w:left w:w="202" w:type="dxa"/>
              <w:right w:w="202" w:type="dxa"/>
            </w:tcMar>
            <w:vAlign w:val="center"/>
          </w:tcPr>
          <w:p w14:paraId="16A778AF" w14:textId="77777777" w:rsidR="009974B5" w:rsidRPr="004B4F5D" w:rsidRDefault="009974B5" w:rsidP="009974B5">
            <w:pPr>
              <w:pStyle w:val="BodyText"/>
              <w:spacing w:before="0"/>
              <w:jc w:val="center"/>
              <w:rPr>
                <w:rStyle w:val="normaltextrun"/>
                <w:rFonts w:eastAsia="Verdana" w:cs="Verdana"/>
              </w:rPr>
            </w:pPr>
            <w:r w:rsidRPr="004B4F5D">
              <w:rPr>
                <w:rStyle w:val="normaltextrun"/>
                <w:rFonts w:eastAsia="Verdana" w:cs="Verdana"/>
              </w:rPr>
              <w:t>70.7%</w:t>
            </w:r>
          </w:p>
        </w:tc>
        <w:tc>
          <w:tcPr>
            <w:tcW w:w="0" w:type="auto"/>
            <w:shd w:val="clear" w:color="auto" w:fill="auto"/>
            <w:tcMar>
              <w:top w:w="115" w:type="dxa"/>
              <w:left w:w="202" w:type="dxa"/>
              <w:right w:w="202" w:type="dxa"/>
            </w:tcMar>
            <w:vAlign w:val="center"/>
          </w:tcPr>
          <w:p w14:paraId="31CD89C6" w14:textId="77777777" w:rsidR="009974B5" w:rsidRPr="004B4F5D" w:rsidRDefault="009974B5" w:rsidP="009974B5">
            <w:pPr>
              <w:pStyle w:val="BodyText"/>
              <w:spacing w:before="0"/>
              <w:jc w:val="center"/>
              <w:rPr>
                <w:rStyle w:val="normaltextrun"/>
                <w:rFonts w:eastAsia="Verdana" w:cs="Verdana"/>
              </w:rPr>
            </w:pPr>
            <w:r w:rsidRPr="004B4F5D">
              <w:rPr>
                <w:rStyle w:val="normaltextrun"/>
                <w:rFonts w:eastAsia="Verdana" w:cs="Verdana"/>
              </w:rPr>
              <w:t>69.5%</w:t>
            </w:r>
          </w:p>
        </w:tc>
        <w:tc>
          <w:tcPr>
            <w:tcW w:w="0" w:type="auto"/>
            <w:shd w:val="clear" w:color="auto" w:fill="auto"/>
            <w:tcMar>
              <w:top w:w="115" w:type="dxa"/>
              <w:left w:w="202" w:type="dxa"/>
              <w:right w:w="202" w:type="dxa"/>
            </w:tcMar>
            <w:vAlign w:val="center"/>
          </w:tcPr>
          <w:p w14:paraId="352B2D3F" w14:textId="77777777" w:rsidR="009974B5" w:rsidRPr="004B4F5D" w:rsidRDefault="009974B5" w:rsidP="009974B5">
            <w:pPr>
              <w:pStyle w:val="BodyText"/>
              <w:spacing w:before="0"/>
              <w:jc w:val="center"/>
              <w:rPr>
                <w:rStyle w:val="normaltextrun"/>
                <w:rFonts w:eastAsia="Verdana" w:cs="Verdana"/>
                <w:color w:val="000000" w:themeColor="text2"/>
              </w:rPr>
            </w:pPr>
            <w:r w:rsidRPr="004B4F5D">
              <w:rPr>
                <w:rStyle w:val="normaltextrun"/>
                <w:rFonts w:eastAsia="Verdana" w:cs="Verdana"/>
                <w:color w:val="000000" w:themeColor="text2"/>
              </w:rPr>
              <w:t>73.1%</w:t>
            </w:r>
          </w:p>
        </w:tc>
        <w:tc>
          <w:tcPr>
            <w:tcW w:w="0" w:type="auto"/>
            <w:shd w:val="clear" w:color="auto" w:fill="auto"/>
            <w:tcMar>
              <w:top w:w="115" w:type="dxa"/>
              <w:left w:w="202" w:type="dxa"/>
              <w:right w:w="202" w:type="dxa"/>
            </w:tcMar>
            <w:vAlign w:val="center"/>
          </w:tcPr>
          <w:p w14:paraId="5473AC31" w14:textId="77777777" w:rsidR="009974B5" w:rsidRPr="004B4F5D" w:rsidRDefault="009974B5" w:rsidP="009974B5">
            <w:pPr>
              <w:pStyle w:val="BodyText"/>
              <w:spacing w:before="0"/>
              <w:jc w:val="center"/>
              <w:rPr>
                <w:rStyle w:val="normaltextrun"/>
                <w:rFonts w:eastAsia="Verdana" w:cs="Verdana"/>
                <w:color w:val="000000" w:themeColor="text2"/>
              </w:rPr>
            </w:pPr>
            <w:r w:rsidRPr="004B4F5D">
              <w:rPr>
                <w:rStyle w:val="normaltextrun"/>
                <w:rFonts w:eastAsia="Verdana" w:cs="Verdana"/>
                <w:color w:val="000000" w:themeColor="text2"/>
              </w:rPr>
              <w:t>69.4%</w:t>
            </w:r>
          </w:p>
        </w:tc>
        <w:tc>
          <w:tcPr>
            <w:tcW w:w="0" w:type="auto"/>
            <w:shd w:val="clear" w:color="auto" w:fill="auto"/>
            <w:tcMar>
              <w:top w:w="115" w:type="dxa"/>
              <w:left w:w="202" w:type="dxa"/>
              <w:right w:w="202" w:type="dxa"/>
            </w:tcMar>
            <w:vAlign w:val="center"/>
          </w:tcPr>
          <w:p w14:paraId="74A1B9A0" w14:textId="77777777" w:rsidR="009974B5" w:rsidRPr="004B4F5D" w:rsidRDefault="009974B5" w:rsidP="009974B5">
            <w:pPr>
              <w:pStyle w:val="BodyText"/>
              <w:spacing w:before="0"/>
              <w:jc w:val="center"/>
              <w:rPr>
                <w:rStyle w:val="normaltextrun"/>
                <w:rFonts w:eastAsia="Verdana" w:cs="Verdana"/>
                <w:color w:val="000000" w:themeColor="text2"/>
              </w:rPr>
            </w:pPr>
            <w:r w:rsidRPr="004B4F5D">
              <w:rPr>
                <w:rStyle w:val="normaltextrun"/>
                <w:rFonts w:eastAsia="Verdana" w:cs="Verdana"/>
                <w:color w:val="000000" w:themeColor="text2"/>
              </w:rPr>
              <w:t>72.8%</w:t>
            </w:r>
          </w:p>
        </w:tc>
        <w:tc>
          <w:tcPr>
            <w:tcW w:w="0" w:type="auto"/>
            <w:shd w:val="clear" w:color="auto" w:fill="auto"/>
            <w:tcMar>
              <w:top w:w="115" w:type="dxa"/>
              <w:left w:w="202" w:type="dxa"/>
              <w:right w:w="202" w:type="dxa"/>
            </w:tcMar>
            <w:vAlign w:val="center"/>
          </w:tcPr>
          <w:p w14:paraId="7B5B298E" w14:textId="77777777" w:rsidR="009974B5" w:rsidRPr="004B4F5D" w:rsidRDefault="009974B5" w:rsidP="009974B5">
            <w:pPr>
              <w:pStyle w:val="BodyText"/>
              <w:spacing w:before="0"/>
              <w:jc w:val="center"/>
              <w:rPr>
                <w:rStyle w:val="normaltextrun"/>
                <w:rFonts w:eastAsia="Verdana" w:cs="Verdana"/>
              </w:rPr>
            </w:pPr>
            <w:r w:rsidRPr="004B4F5D">
              <w:rPr>
                <w:rStyle w:val="normaltextrun"/>
                <w:rFonts w:eastAsia="Verdana" w:cs="Verdana"/>
              </w:rPr>
              <w:t>71.2%</w:t>
            </w:r>
          </w:p>
        </w:tc>
      </w:tr>
      <w:tr w:rsidR="009974B5" w:rsidRPr="00FF01E4" w14:paraId="7A685908" w14:textId="77777777" w:rsidTr="006E14EA">
        <w:trPr>
          <w:cnfStyle w:val="000000010000" w:firstRow="0" w:lastRow="0" w:firstColumn="0" w:lastColumn="0" w:oddVBand="0" w:evenVBand="0" w:oddHBand="0" w:evenHBand="1" w:firstRowFirstColumn="0" w:firstRowLastColumn="0" w:lastRowFirstColumn="0" w:lastRowLastColumn="0"/>
          <w:trHeight w:val="20"/>
        </w:trPr>
        <w:tc>
          <w:tcPr>
            <w:tcW w:w="0" w:type="auto"/>
            <w:tcMar>
              <w:top w:w="115" w:type="dxa"/>
              <w:left w:w="202" w:type="dxa"/>
              <w:right w:w="202" w:type="dxa"/>
            </w:tcMar>
            <w:vAlign w:val="center"/>
          </w:tcPr>
          <w:p w14:paraId="4AE1A010" w14:textId="77777777" w:rsidR="009974B5" w:rsidRPr="00975077" w:rsidRDefault="00102D3B" w:rsidP="00102D3B">
            <w:pPr>
              <w:pStyle w:val="BodyText"/>
              <w:spacing w:before="0"/>
              <w:jc w:val="center"/>
              <w:rPr>
                <w:b/>
              </w:rPr>
            </w:pPr>
            <w:r w:rsidRPr="00975077">
              <w:rPr>
                <w:rStyle w:val="normaltextrun"/>
                <w:rFonts w:eastAsiaTheme="minorBidi"/>
                <w:b/>
              </w:rPr>
              <w:t>≥</w:t>
            </w:r>
            <w:r>
              <w:rPr>
                <w:rStyle w:val="normaltextrun"/>
                <w:rFonts w:eastAsiaTheme="minorBidi"/>
                <w:b/>
              </w:rPr>
              <w:t>4</w:t>
            </w:r>
            <w:r>
              <w:rPr>
                <w:b/>
              </w:rPr>
              <w:t xml:space="preserve"> Doses </w:t>
            </w:r>
            <w:r>
              <w:rPr>
                <w:b/>
              </w:rPr>
              <w:br/>
              <w:t xml:space="preserve">of </w:t>
            </w:r>
            <w:r w:rsidR="00A02B50">
              <w:rPr>
                <w:b/>
              </w:rPr>
              <w:t>DTaP</w:t>
            </w:r>
          </w:p>
        </w:tc>
        <w:tc>
          <w:tcPr>
            <w:tcW w:w="0" w:type="auto"/>
            <w:tcMar>
              <w:top w:w="115" w:type="dxa"/>
              <w:left w:w="202" w:type="dxa"/>
              <w:right w:w="202" w:type="dxa"/>
            </w:tcMar>
            <w:vAlign w:val="center"/>
          </w:tcPr>
          <w:p w14:paraId="4CC65C5B" w14:textId="77777777" w:rsidR="009974B5" w:rsidRPr="004B4F5D" w:rsidRDefault="009974B5" w:rsidP="009974B5">
            <w:pPr>
              <w:pStyle w:val="BodyText"/>
              <w:spacing w:before="0"/>
              <w:jc w:val="center"/>
              <w:rPr>
                <w:rStyle w:val="normaltextrun"/>
                <w:rFonts w:eastAsia="Verdana" w:cs="Verdana"/>
              </w:rPr>
            </w:pPr>
            <w:r w:rsidRPr="004B4F5D">
              <w:rPr>
                <w:rStyle w:val="normaltextrun"/>
                <w:rFonts w:eastAsia="Verdana" w:cs="Verdana"/>
              </w:rPr>
              <w:t>83.4%</w:t>
            </w:r>
          </w:p>
        </w:tc>
        <w:tc>
          <w:tcPr>
            <w:tcW w:w="0" w:type="auto"/>
            <w:tcMar>
              <w:top w:w="115" w:type="dxa"/>
              <w:left w:w="202" w:type="dxa"/>
              <w:right w:w="202" w:type="dxa"/>
            </w:tcMar>
            <w:vAlign w:val="center"/>
          </w:tcPr>
          <w:p w14:paraId="70D1E107" w14:textId="77777777" w:rsidR="009974B5" w:rsidRPr="004B4F5D" w:rsidRDefault="009974B5" w:rsidP="009974B5">
            <w:pPr>
              <w:pStyle w:val="BodyText"/>
              <w:spacing w:before="0"/>
              <w:jc w:val="center"/>
              <w:rPr>
                <w:rStyle w:val="normaltextrun"/>
                <w:rFonts w:eastAsia="Verdana" w:cs="Verdana"/>
              </w:rPr>
            </w:pPr>
            <w:r w:rsidRPr="004B4F5D">
              <w:rPr>
                <w:rStyle w:val="normaltextrun"/>
                <w:rFonts w:eastAsia="Verdana" w:cs="Verdana"/>
              </w:rPr>
              <w:t>81.3%</w:t>
            </w:r>
          </w:p>
        </w:tc>
        <w:tc>
          <w:tcPr>
            <w:tcW w:w="0" w:type="auto"/>
            <w:tcMar>
              <w:top w:w="115" w:type="dxa"/>
              <w:left w:w="202" w:type="dxa"/>
              <w:right w:w="202" w:type="dxa"/>
            </w:tcMar>
            <w:vAlign w:val="center"/>
          </w:tcPr>
          <w:p w14:paraId="3EB2BECE" w14:textId="77777777" w:rsidR="009974B5" w:rsidRPr="004B4F5D" w:rsidRDefault="009974B5" w:rsidP="009974B5">
            <w:pPr>
              <w:pStyle w:val="BodyText"/>
              <w:spacing w:before="0"/>
              <w:jc w:val="center"/>
              <w:rPr>
                <w:rStyle w:val="normaltextrun"/>
                <w:rFonts w:eastAsia="Verdana" w:cs="Verdana"/>
                <w:color w:val="000000" w:themeColor="text2"/>
              </w:rPr>
            </w:pPr>
            <w:r w:rsidRPr="004B4F5D">
              <w:rPr>
                <w:rStyle w:val="normaltextrun"/>
                <w:rFonts w:eastAsia="Verdana" w:cs="Verdana"/>
                <w:color w:val="000000" w:themeColor="text2"/>
              </w:rPr>
              <w:t>86.0%</w:t>
            </w:r>
          </w:p>
        </w:tc>
        <w:tc>
          <w:tcPr>
            <w:tcW w:w="0" w:type="auto"/>
            <w:tcMar>
              <w:top w:w="115" w:type="dxa"/>
              <w:left w:w="202" w:type="dxa"/>
              <w:right w:w="202" w:type="dxa"/>
            </w:tcMar>
            <w:vAlign w:val="center"/>
          </w:tcPr>
          <w:p w14:paraId="6A4EC903" w14:textId="77777777" w:rsidR="009974B5" w:rsidRPr="004B4F5D" w:rsidRDefault="009974B5" w:rsidP="009974B5">
            <w:pPr>
              <w:pStyle w:val="BodyText"/>
              <w:spacing w:before="0"/>
              <w:jc w:val="center"/>
              <w:rPr>
                <w:rStyle w:val="normaltextrun"/>
                <w:rFonts w:eastAsia="Verdana" w:cs="Verdana"/>
                <w:color w:val="000000" w:themeColor="text2"/>
              </w:rPr>
            </w:pPr>
            <w:r w:rsidRPr="004B4F5D">
              <w:rPr>
                <w:rStyle w:val="normaltextrun"/>
                <w:rFonts w:eastAsia="Verdana" w:cs="Verdana"/>
                <w:color w:val="000000" w:themeColor="text2"/>
              </w:rPr>
              <w:t>78.1%</w:t>
            </w:r>
          </w:p>
        </w:tc>
        <w:tc>
          <w:tcPr>
            <w:tcW w:w="0" w:type="auto"/>
            <w:tcMar>
              <w:top w:w="115" w:type="dxa"/>
              <w:left w:w="202" w:type="dxa"/>
              <w:right w:w="202" w:type="dxa"/>
            </w:tcMar>
            <w:vAlign w:val="center"/>
          </w:tcPr>
          <w:p w14:paraId="6B8272AC" w14:textId="77777777" w:rsidR="009974B5" w:rsidRPr="004B4F5D" w:rsidRDefault="009974B5" w:rsidP="009974B5">
            <w:pPr>
              <w:pStyle w:val="BodyText"/>
              <w:spacing w:before="0"/>
              <w:jc w:val="center"/>
              <w:rPr>
                <w:rStyle w:val="normaltextrun"/>
                <w:rFonts w:eastAsia="Verdana" w:cs="Verdana"/>
                <w:color w:val="000000" w:themeColor="text2"/>
              </w:rPr>
            </w:pPr>
            <w:r w:rsidRPr="004B4F5D">
              <w:rPr>
                <w:rStyle w:val="normaltextrun"/>
                <w:rFonts w:eastAsia="Verdana" w:cs="Verdana"/>
                <w:color w:val="000000" w:themeColor="text2"/>
              </w:rPr>
              <w:t>81.4%</w:t>
            </w:r>
          </w:p>
        </w:tc>
        <w:tc>
          <w:tcPr>
            <w:tcW w:w="0" w:type="auto"/>
            <w:tcMar>
              <w:top w:w="115" w:type="dxa"/>
              <w:left w:w="202" w:type="dxa"/>
              <w:right w:w="202" w:type="dxa"/>
            </w:tcMar>
            <w:vAlign w:val="center"/>
          </w:tcPr>
          <w:p w14:paraId="0676109F" w14:textId="77777777" w:rsidR="009974B5" w:rsidRPr="004B4F5D" w:rsidRDefault="009974B5" w:rsidP="009974B5">
            <w:pPr>
              <w:pStyle w:val="BodyText"/>
              <w:spacing w:before="0"/>
              <w:jc w:val="center"/>
              <w:rPr>
                <w:rStyle w:val="normaltextrun"/>
                <w:rFonts w:eastAsia="Verdana" w:cs="Verdana"/>
              </w:rPr>
            </w:pPr>
            <w:r w:rsidRPr="004B4F5D">
              <w:rPr>
                <w:rStyle w:val="normaltextrun"/>
                <w:rFonts w:eastAsia="Verdana" w:cs="Verdana"/>
                <w:color w:val="000000" w:themeColor="text2"/>
              </w:rPr>
              <w:t>82.0%</w:t>
            </w:r>
          </w:p>
        </w:tc>
      </w:tr>
      <w:tr w:rsidR="009974B5" w:rsidRPr="00FF01E4" w14:paraId="69592564" w14:textId="77777777" w:rsidTr="00BA0F8E">
        <w:trPr>
          <w:trHeight w:val="475"/>
        </w:trPr>
        <w:tc>
          <w:tcPr>
            <w:tcW w:w="0" w:type="auto"/>
            <w:tcMar>
              <w:top w:w="115" w:type="dxa"/>
              <w:left w:w="202" w:type="dxa"/>
              <w:right w:w="202" w:type="dxa"/>
            </w:tcMar>
            <w:vAlign w:val="center"/>
          </w:tcPr>
          <w:p w14:paraId="102C8DBB" w14:textId="77777777" w:rsidR="009974B5" w:rsidRPr="00975077" w:rsidRDefault="00A02B50" w:rsidP="009974B5">
            <w:pPr>
              <w:pStyle w:val="BodyText"/>
              <w:spacing w:before="0"/>
              <w:jc w:val="center"/>
              <w:rPr>
                <w:b/>
              </w:rPr>
            </w:pPr>
            <w:r>
              <w:rPr>
                <w:b/>
              </w:rPr>
              <w:lastRenderedPageBreak/>
              <w:t>Hib</w:t>
            </w:r>
            <w:r w:rsidR="00102D3B">
              <w:rPr>
                <w:rStyle w:val="FootnoteReference"/>
                <w:b/>
              </w:rPr>
              <w:footnoteReference w:id="7"/>
            </w:r>
          </w:p>
        </w:tc>
        <w:tc>
          <w:tcPr>
            <w:tcW w:w="0" w:type="auto"/>
            <w:tcMar>
              <w:top w:w="115" w:type="dxa"/>
              <w:left w:w="202" w:type="dxa"/>
              <w:right w:w="202" w:type="dxa"/>
            </w:tcMar>
            <w:vAlign w:val="center"/>
          </w:tcPr>
          <w:p w14:paraId="1846024C" w14:textId="77777777" w:rsidR="009974B5" w:rsidRPr="004B4F5D" w:rsidRDefault="009974B5" w:rsidP="009974B5">
            <w:pPr>
              <w:pStyle w:val="BodyText"/>
              <w:spacing w:before="0"/>
              <w:jc w:val="center"/>
              <w:rPr>
                <w:rStyle w:val="normaltextrun"/>
                <w:rFonts w:eastAsia="Verdana" w:cs="Verdana"/>
              </w:rPr>
            </w:pPr>
            <w:r w:rsidRPr="004B4F5D">
              <w:rPr>
                <w:rStyle w:val="normaltextrun"/>
                <w:rFonts w:eastAsia="Verdana" w:cs="Verdana"/>
              </w:rPr>
              <w:t>81.8%</w:t>
            </w:r>
          </w:p>
        </w:tc>
        <w:tc>
          <w:tcPr>
            <w:tcW w:w="0" w:type="auto"/>
            <w:tcMar>
              <w:top w:w="115" w:type="dxa"/>
              <w:left w:w="202" w:type="dxa"/>
              <w:right w:w="202" w:type="dxa"/>
            </w:tcMar>
            <w:vAlign w:val="center"/>
          </w:tcPr>
          <w:p w14:paraId="50D2DC66" w14:textId="77777777" w:rsidR="009974B5" w:rsidRPr="004B4F5D" w:rsidRDefault="009974B5" w:rsidP="009974B5">
            <w:pPr>
              <w:pStyle w:val="BodyText"/>
              <w:spacing w:before="0"/>
              <w:jc w:val="center"/>
              <w:rPr>
                <w:rStyle w:val="normaltextrun"/>
                <w:rFonts w:eastAsia="Verdana" w:cs="Verdana"/>
              </w:rPr>
            </w:pPr>
            <w:r w:rsidRPr="004B4F5D">
              <w:rPr>
                <w:rStyle w:val="normaltextrun"/>
                <w:rFonts w:eastAsia="Verdana" w:cs="Verdana"/>
              </w:rPr>
              <w:t>80.0%</w:t>
            </w:r>
          </w:p>
        </w:tc>
        <w:tc>
          <w:tcPr>
            <w:tcW w:w="0" w:type="auto"/>
            <w:tcMar>
              <w:top w:w="115" w:type="dxa"/>
              <w:left w:w="202" w:type="dxa"/>
              <w:right w:w="202" w:type="dxa"/>
            </w:tcMar>
            <w:vAlign w:val="center"/>
          </w:tcPr>
          <w:p w14:paraId="445E1723" w14:textId="77777777" w:rsidR="009974B5" w:rsidRPr="004B4F5D" w:rsidRDefault="009974B5" w:rsidP="009974B5">
            <w:pPr>
              <w:pStyle w:val="BodyText"/>
              <w:spacing w:before="0"/>
              <w:jc w:val="center"/>
              <w:rPr>
                <w:rStyle w:val="normaltextrun"/>
                <w:rFonts w:eastAsia="Verdana" w:cs="Verdana"/>
                <w:color w:val="000000" w:themeColor="text2"/>
              </w:rPr>
            </w:pPr>
            <w:r w:rsidRPr="004B4F5D">
              <w:rPr>
                <w:rStyle w:val="normaltextrun"/>
                <w:rFonts w:eastAsia="Verdana" w:cs="Verdana"/>
                <w:color w:val="000000" w:themeColor="text2"/>
              </w:rPr>
              <w:t>84.9%</w:t>
            </w:r>
          </w:p>
        </w:tc>
        <w:tc>
          <w:tcPr>
            <w:tcW w:w="0" w:type="auto"/>
            <w:tcMar>
              <w:top w:w="115" w:type="dxa"/>
              <w:left w:w="202" w:type="dxa"/>
              <w:right w:w="202" w:type="dxa"/>
            </w:tcMar>
            <w:vAlign w:val="center"/>
          </w:tcPr>
          <w:p w14:paraId="68AA6AA3" w14:textId="77777777" w:rsidR="009974B5" w:rsidRPr="004B4F5D" w:rsidRDefault="009974B5" w:rsidP="009974B5">
            <w:pPr>
              <w:pStyle w:val="BodyText"/>
              <w:spacing w:before="0"/>
              <w:jc w:val="center"/>
              <w:rPr>
                <w:rStyle w:val="normaltextrun"/>
                <w:rFonts w:eastAsia="Verdana" w:cs="Verdana"/>
                <w:color w:val="000000" w:themeColor="text2"/>
              </w:rPr>
            </w:pPr>
            <w:r w:rsidRPr="004B4F5D">
              <w:rPr>
                <w:rStyle w:val="normaltextrun"/>
                <w:rFonts w:eastAsia="Verdana" w:cs="Verdana"/>
                <w:color w:val="000000" w:themeColor="text2"/>
              </w:rPr>
              <w:t>78.0%</w:t>
            </w:r>
          </w:p>
        </w:tc>
        <w:tc>
          <w:tcPr>
            <w:tcW w:w="0" w:type="auto"/>
            <w:tcMar>
              <w:top w:w="115" w:type="dxa"/>
              <w:left w:w="202" w:type="dxa"/>
              <w:right w:w="202" w:type="dxa"/>
            </w:tcMar>
            <w:vAlign w:val="center"/>
          </w:tcPr>
          <w:p w14:paraId="6CC9CFA5" w14:textId="77777777" w:rsidR="009974B5" w:rsidRPr="004B4F5D" w:rsidRDefault="009974B5" w:rsidP="009974B5">
            <w:pPr>
              <w:pStyle w:val="BodyText"/>
              <w:spacing w:before="0"/>
              <w:jc w:val="center"/>
              <w:rPr>
                <w:rStyle w:val="normaltextrun"/>
                <w:rFonts w:eastAsia="Verdana" w:cs="Verdana"/>
                <w:color w:val="000000" w:themeColor="text2"/>
              </w:rPr>
            </w:pPr>
            <w:r w:rsidRPr="004B4F5D">
              <w:rPr>
                <w:rStyle w:val="normaltextrun"/>
                <w:rFonts w:eastAsia="Verdana" w:cs="Verdana"/>
                <w:color w:val="000000" w:themeColor="text2"/>
              </w:rPr>
              <w:t>80.7%</w:t>
            </w:r>
          </w:p>
        </w:tc>
        <w:tc>
          <w:tcPr>
            <w:tcW w:w="0" w:type="auto"/>
            <w:tcMar>
              <w:top w:w="115" w:type="dxa"/>
              <w:left w:w="202" w:type="dxa"/>
              <w:right w:w="202" w:type="dxa"/>
            </w:tcMar>
            <w:vAlign w:val="center"/>
          </w:tcPr>
          <w:p w14:paraId="152FE461" w14:textId="77777777" w:rsidR="009974B5" w:rsidRPr="004B4F5D" w:rsidRDefault="009974B5" w:rsidP="009974B5">
            <w:pPr>
              <w:pStyle w:val="BodyText"/>
              <w:spacing w:before="0"/>
              <w:jc w:val="center"/>
              <w:rPr>
                <w:rStyle w:val="normaltextrun"/>
                <w:rFonts w:eastAsia="Verdana" w:cs="Verdana"/>
              </w:rPr>
            </w:pPr>
            <w:r w:rsidRPr="004B4F5D">
              <w:rPr>
                <w:rStyle w:val="normaltextrun"/>
                <w:rFonts w:eastAsia="Verdana" w:cs="Verdana"/>
              </w:rPr>
              <w:t>81.1%</w:t>
            </w:r>
          </w:p>
        </w:tc>
      </w:tr>
      <w:tr w:rsidR="00FF01E4" w:rsidRPr="00FF01E4" w14:paraId="11EF6FB8" w14:textId="77777777" w:rsidTr="006E14EA">
        <w:trPr>
          <w:cnfStyle w:val="000000010000" w:firstRow="0" w:lastRow="0" w:firstColumn="0" w:lastColumn="0" w:oddVBand="0" w:evenVBand="0" w:oddHBand="0" w:evenHBand="1" w:firstRowFirstColumn="0" w:firstRowLastColumn="0" w:lastRowFirstColumn="0" w:lastRowLastColumn="0"/>
          <w:trHeight w:val="20"/>
        </w:trPr>
        <w:tc>
          <w:tcPr>
            <w:tcW w:w="0" w:type="auto"/>
            <w:tcMar>
              <w:top w:w="115" w:type="dxa"/>
              <w:left w:w="202" w:type="dxa"/>
              <w:right w:w="202" w:type="dxa"/>
            </w:tcMar>
            <w:vAlign w:val="center"/>
          </w:tcPr>
          <w:p w14:paraId="1BFC6A76" w14:textId="77777777" w:rsidR="00685D19" w:rsidRPr="00975077" w:rsidRDefault="00102D3B" w:rsidP="00102D3B">
            <w:pPr>
              <w:pStyle w:val="BodyText"/>
              <w:spacing w:before="0"/>
              <w:jc w:val="center"/>
              <w:rPr>
                <w:b/>
              </w:rPr>
            </w:pPr>
            <w:r w:rsidRPr="00975077">
              <w:rPr>
                <w:rStyle w:val="normaltextrun"/>
                <w:rFonts w:eastAsiaTheme="minorBidi"/>
                <w:b/>
              </w:rPr>
              <w:t>≥</w:t>
            </w:r>
            <w:r>
              <w:rPr>
                <w:rStyle w:val="normaltextrun"/>
                <w:rFonts w:eastAsiaTheme="minorBidi"/>
                <w:b/>
              </w:rPr>
              <w:t>2</w:t>
            </w:r>
            <w:r>
              <w:rPr>
                <w:b/>
              </w:rPr>
              <w:t xml:space="preserve"> Doses </w:t>
            </w:r>
            <w:r>
              <w:rPr>
                <w:b/>
              </w:rPr>
              <w:br/>
              <w:t xml:space="preserve">of </w:t>
            </w:r>
            <w:r w:rsidR="5DDCF1D8" w:rsidRPr="00975077">
              <w:rPr>
                <w:b/>
              </w:rPr>
              <w:t>Hep A</w:t>
            </w:r>
          </w:p>
        </w:tc>
        <w:tc>
          <w:tcPr>
            <w:tcW w:w="0" w:type="auto"/>
            <w:tcMar>
              <w:top w:w="115" w:type="dxa"/>
              <w:left w:w="202" w:type="dxa"/>
              <w:right w:w="202" w:type="dxa"/>
            </w:tcMar>
            <w:vAlign w:val="center"/>
          </w:tcPr>
          <w:p w14:paraId="3D8CF162" w14:textId="77777777" w:rsidR="00685D19" w:rsidRPr="00FF01E4" w:rsidRDefault="5DDCF1D8" w:rsidP="00975077">
            <w:pPr>
              <w:pStyle w:val="BodyText"/>
              <w:spacing w:before="0"/>
              <w:jc w:val="center"/>
            </w:pPr>
            <w:r w:rsidRPr="004B4F5D">
              <w:rPr>
                <w:rStyle w:val="normaltextrun"/>
                <w:rFonts w:eastAsia="Verdana" w:cs="Verdana"/>
              </w:rPr>
              <w:t>60.6%</w:t>
            </w:r>
          </w:p>
        </w:tc>
        <w:tc>
          <w:tcPr>
            <w:tcW w:w="0" w:type="auto"/>
            <w:tcMar>
              <w:top w:w="115" w:type="dxa"/>
              <w:left w:w="202" w:type="dxa"/>
              <w:right w:w="202" w:type="dxa"/>
            </w:tcMar>
            <w:vAlign w:val="center"/>
          </w:tcPr>
          <w:p w14:paraId="6314FF23" w14:textId="77777777" w:rsidR="00685D19" w:rsidRPr="00FF01E4" w:rsidRDefault="5DDCF1D8" w:rsidP="00975077">
            <w:pPr>
              <w:pStyle w:val="BodyText"/>
              <w:spacing w:before="0"/>
              <w:jc w:val="center"/>
            </w:pPr>
            <w:r w:rsidRPr="004B4F5D">
              <w:rPr>
                <w:rStyle w:val="normaltextrun"/>
                <w:rFonts w:eastAsia="Verdana" w:cs="Verdana"/>
              </w:rPr>
              <w:t>60.5%</w:t>
            </w:r>
          </w:p>
        </w:tc>
        <w:tc>
          <w:tcPr>
            <w:tcW w:w="0" w:type="auto"/>
            <w:tcMar>
              <w:top w:w="115" w:type="dxa"/>
              <w:left w:w="202" w:type="dxa"/>
              <w:right w:w="202" w:type="dxa"/>
            </w:tcMar>
            <w:vAlign w:val="center"/>
          </w:tcPr>
          <w:p w14:paraId="378CC6F2" w14:textId="77777777" w:rsidR="00685D19" w:rsidRPr="004B4F5D" w:rsidRDefault="5DDCF1D8" w:rsidP="00975077">
            <w:pPr>
              <w:pStyle w:val="BodyText"/>
              <w:spacing w:before="0"/>
              <w:jc w:val="center"/>
              <w:rPr>
                <w:rStyle w:val="normaltextrun"/>
                <w:rFonts w:eastAsia="Verdana,Segoe UI" w:cs="Verdana,Segoe UI"/>
                <w:color w:val="000000" w:themeColor="text2"/>
                <w:sz w:val="22"/>
              </w:rPr>
            </w:pPr>
            <w:r w:rsidRPr="004B4F5D">
              <w:rPr>
                <w:rStyle w:val="normaltextrun"/>
                <w:rFonts w:eastAsia="Verdana" w:cs="Verdana"/>
                <w:color w:val="000000" w:themeColor="text2"/>
              </w:rPr>
              <w:t>68.1%</w:t>
            </w:r>
          </w:p>
        </w:tc>
        <w:tc>
          <w:tcPr>
            <w:tcW w:w="0" w:type="auto"/>
            <w:tcMar>
              <w:top w:w="115" w:type="dxa"/>
              <w:left w:w="202" w:type="dxa"/>
              <w:right w:w="202" w:type="dxa"/>
            </w:tcMar>
            <w:vAlign w:val="center"/>
          </w:tcPr>
          <w:p w14:paraId="2EB8F49A" w14:textId="77777777" w:rsidR="00685D19" w:rsidRPr="00FF01E4" w:rsidRDefault="5DDCF1D8" w:rsidP="00975077">
            <w:pPr>
              <w:pStyle w:val="BodyText"/>
              <w:spacing w:before="0"/>
              <w:jc w:val="center"/>
            </w:pPr>
            <w:r w:rsidRPr="004B4F5D">
              <w:rPr>
                <w:rStyle w:val="normaltextrun"/>
                <w:rFonts w:eastAsia="Verdana" w:cs="Verdana"/>
                <w:color w:val="000000" w:themeColor="text2"/>
              </w:rPr>
              <w:t>63.6%</w:t>
            </w:r>
          </w:p>
        </w:tc>
        <w:tc>
          <w:tcPr>
            <w:tcW w:w="0" w:type="auto"/>
            <w:tcMar>
              <w:top w:w="115" w:type="dxa"/>
              <w:left w:w="202" w:type="dxa"/>
              <w:right w:w="202" w:type="dxa"/>
            </w:tcMar>
            <w:vAlign w:val="center"/>
          </w:tcPr>
          <w:p w14:paraId="088C84C0" w14:textId="77777777" w:rsidR="00685D19" w:rsidRPr="00FF01E4" w:rsidRDefault="5DDCF1D8" w:rsidP="00975077">
            <w:pPr>
              <w:pStyle w:val="BodyText"/>
              <w:spacing w:before="0"/>
              <w:jc w:val="center"/>
            </w:pPr>
            <w:r w:rsidRPr="004B4F5D">
              <w:rPr>
                <w:rStyle w:val="normaltextrun"/>
                <w:rFonts w:eastAsia="Verdana" w:cs="Verdana"/>
                <w:color w:val="000000" w:themeColor="text2"/>
              </w:rPr>
              <w:t>66.8%</w:t>
            </w:r>
          </w:p>
        </w:tc>
        <w:tc>
          <w:tcPr>
            <w:tcW w:w="0" w:type="auto"/>
            <w:tcMar>
              <w:top w:w="115" w:type="dxa"/>
              <w:left w:w="202" w:type="dxa"/>
              <w:right w:w="202" w:type="dxa"/>
            </w:tcMar>
            <w:vAlign w:val="center"/>
          </w:tcPr>
          <w:p w14:paraId="11CD7432" w14:textId="77777777" w:rsidR="00685D19" w:rsidRPr="00FF01E4" w:rsidRDefault="5DDCF1D8" w:rsidP="00975077">
            <w:pPr>
              <w:pStyle w:val="BodyText"/>
              <w:spacing w:before="0"/>
              <w:jc w:val="center"/>
            </w:pPr>
            <w:r w:rsidRPr="004B4F5D">
              <w:rPr>
                <w:rStyle w:val="normaltextrun"/>
                <w:rFonts w:eastAsia="Verdana" w:cs="Verdana"/>
              </w:rPr>
              <w:t>64.1%</w:t>
            </w:r>
          </w:p>
        </w:tc>
      </w:tr>
      <w:tr w:rsidR="00DB53A9" w:rsidRPr="00FF01E4" w14:paraId="57B3FC2C" w14:textId="77777777" w:rsidTr="00DB53A9">
        <w:trPr>
          <w:trHeight w:val="20"/>
        </w:trPr>
        <w:tc>
          <w:tcPr>
            <w:tcW w:w="0" w:type="auto"/>
            <w:tcMar>
              <w:top w:w="115" w:type="dxa"/>
              <w:left w:w="202" w:type="dxa"/>
              <w:right w:w="202" w:type="dxa"/>
            </w:tcMar>
            <w:vAlign w:val="center"/>
          </w:tcPr>
          <w:p w14:paraId="299D993F" w14:textId="77777777" w:rsidR="00685D19" w:rsidRPr="00975077" w:rsidRDefault="00102D3B" w:rsidP="00102D3B">
            <w:pPr>
              <w:pStyle w:val="BodyText"/>
              <w:spacing w:before="0"/>
              <w:jc w:val="center"/>
              <w:rPr>
                <w:b/>
              </w:rPr>
            </w:pPr>
            <w:r w:rsidRPr="00975077">
              <w:rPr>
                <w:rStyle w:val="normaltextrun"/>
                <w:rFonts w:eastAsiaTheme="minorBidi"/>
                <w:b/>
              </w:rPr>
              <w:t>≥</w:t>
            </w:r>
            <w:r>
              <w:rPr>
                <w:rStyle w:val="normaltextrun"/>
                <w:rFonts w:eastAsiaTheme="minorBidi"/>
                <w:b/>
              </w:rPr>
              <w:t>3</w:t>
            </w:r>
            <w:r>
              <w:rPr>
                <w:b/>
              </w:rPr>
              <w:t xml:space="preserve"> Doses </w:t>
            </w:r>
            <w:r>
              <w:rPr>
                <w:b/>
              </w:rPr>
              <w:br/>
              <w:t xml:space="preserve">of </w:t>
            </w:r>
            <w:r w:rsidR="5DDCF1D8" w:rsidRPr="00975077">
              <w:rPr>
                <w:b/>
              </w:rPr>
              <w:t>Hep B</w:t>
            </w:r>
          </w:p>
        </w:tc>
        <w:tc>
          <w:tcPr>
            <w:tcW w:w="0" w:type="auto"/>
            <w:tcMar>
              <w:top w:w="115" w:type="dxa"/>
              <w:left w:w="202" w:type="dxa"/>
              <w:right w:w="202" w:type="dxa"/>
            </w:tcMar>
            <w:vAlign w:val="center"/>
          </w:tcPr>
          <w:p w14:paraId="1E0CD098" w14:textId="77777777" w:rsidR="00685D19" w:rsidRPr="00FF01E4" w:rsidRDefault="5DDCF1D8" w:rsidP="00975077">
            <w:pPr>
              <w:pStyle w:val="BodyText"/>
              <w:spacing w:before="0"/>
              <w:jc w:val="center"/>
            </w:pPr>
            <w:r w:rsidRPr="004B4F5D">
              <w:rPr>
                <w:rStyle w:val="normaltextrun"/>
                <w:rFonts w:eastAsia="Verdana" w:cs="Verdana"/>
              </w:rPr>
              <w:t>71.7%</w:t>
            </w:r>
          </w:p>
        </w:tc>
        <w:tc>
          <w:tcPr>
            <w:tcW w:w="0" w:type="auto"/>
            <w:tcMar>
              <w:top w:w="115" w:type="dxa"/>
              <w:left w:w="202" w:type="dxa"/>
              <w:right w:w="202" w:type="dxa"/>
            </w:tcMar>
            <w:vAlign w:val="center"/>
          </w:tcPr>
          <w:p w14:paraId="6CAB0E5D" w14:textId="77777777" w:rsidR="00685D19" w:rsidRPr="00FF01E4" w:rsidRDefault="5DDCF1D8" w:rsidP="00975077">
            <w:pPr>
              <w:pStyle w:val="BodyText"/>
              <w:spacing w:before="0"/>
              <w:jc w:val="center"/>
            </w:pPr>
            <w:r w:rsidRPr="004B4F5D">
              <w:rPr>
                <w:rStyle w:val="normaltextrun"/>
                <w:rFonts w:eastAsia="Verdana" w:cs="Verdana"/>
              </w:rPr>
              <w:t>75.2%</w:t>
            </w:r>
          </w:p>
        </w:tc>
        <w:tc>
          <w:tcPr>
            <w:tcW w:w="0" w:type="auto"/>
            <w:tcMar>
              <w:top w:w="115" w:type="dxa"/>
              <w:left w:w="202" w:type="dxa"/>
              <w:right w:w="202" w:type="dxa"/>
            </w:tcMar>
            <w:vAlign w:val="center"/>
          </w:tcPr>
          <w:p w14:paraId="7952F9FF" w14:textId="77777777" w:rsidR="00685D19" w:rsidRPr="004B4F5D" w:rsidRDefault="5DDCF1D8" w:rsidP="00975077">
            <w:pPr>
              <w:pStyle w:val="BodyText"/>
              <w:spacing w:before="0"/>
              <w:jc w:val="center"/>
              <w:rPr>
                <w:rStyle w:val="normaltextrun"/>
                <w:rFonts w:eastAsia="Verdana,Segoe UI" w:cs="Verdana,Segoe UI"/>
                <w:color w:val="000000" w:themeColor="text2"/>
                <w:sz w:val="22"/>
              </w:rPr>
            </w:pPr>
            <w:r w:rsidRPr="004B4F5D">
              <w:rPr>
                <w:rStyle w:val="normaltextrun"/>
                <w:rFonts w:eastAsia="Verdana" w:cs="Verdana"/>
                <w:color w:val="000000" w:themeColor="text2"/>
              </w:rPr>
              <w:t>77.2%</w:t>
            </w:r>
          </w:p>
        </w:tc>
        <w:tc>
          <w:tcPr>
            <w:tcW w:w="0" w:type="auto"/>
            <w:tcMar>
              <w:top w:w="115" w:type="dxa"/>
              <w:left w:w="202" w:type="dxa"/>
              <w:right w:w="202" w:type="dxa"/>
            </w:tcMar>
            <w:vAlign w:val="center"/>
          </w:tcPr>
          <w:p w14:paraId="7F4DA158" w14:textId="77777777" w:rsidR="00685D19" w:rsidRPr="00FF01E4" w:rsidRDefault="5DDCF1D8" w:rsidP="00975077">
            <w:pPr>
              <w:pStyle w:val="BodyText"/>
              <w:spacing w:before="0"/>
              <w:jc w:val="center"/>
            </w:pPr>
            <w:r w:rsidRPr="004B4F5D">
              <w:rPr>
                <w:rStyle w:val="normaltextrun"/>
                <w:rFonts w:eastAsia="Verdana" w:cs="Verdana"/>
                <w:color w:val="000000" w:themeColor="text2"/>
              </w:rPr>
              <w:t>75.3%</w:t>
            </w:r>
          </w:p>
        </w:tc>
        <w:tc>
          <w:tcPr>
            <w:tcW w:w="0" w:type="auto"/>
            <w:tcMar>
              <w:top w:w="115" w:type="dxa"/>
              <w:left w:w="202" w:type="dxa"/>
              <w:right w:w="202" w:type="dxa"/>
            </w:tcMar>
            <w:vAlign w:val="center"/>
          </w:tcPr>
          <w:p w14:paraId="6033BAF5" w14:textId="77777777" w:rsidR="00685D19" w:rsidRPr="00FF01E4" w:rsidRDefault="5DDCF1D8" w:rsidP="00975077">
            <w:pPr>
              <w:pStyle w:val="BodyText"/>
              <w:spacing w:before="0"/>
              <w:jc w:val="center"/>
            </w:pPr>
            <w:r w:rsidRPr="004B4F5D">
              <w:rPr>
                <w:rStyle w:val="normaltextrun"/>
                <w:rFonts w:eastAsia="Verdana" w:cs="Verdana"/>
                <w:color w:val="000000" w:themeColor="text2"/>
              </w:rPr>
              <w:t>74.8%</w:t>
            </w:r>
          </w:p>
        </w:tc>
        <w:tc>
          <w:tcPr>
            <w:tcW w:w="0" w:type="auto"/>
            <w:tcMar>
              <w:top w:w="115" w:type="dxa"/>
              <w:left w:w="202" w:type="dxa"/>
              <w:right w:w="202" w:type="dxa"/>
            </w:tcMar>
            <w:vAlign w:val="center"/>
          </w:tcPr>
          <w:p w14:paraId="3B982AF0" w14:textId="77777777" w:rsidR="00685D19" w:rsidRPr="00FF01E4" w:rsidRDefault="5DDCF1D8" w:rsidP="00975077">
            <w:pPr>
              <w:pStyle w:val="BodyText"/>
              <w:spacing w:before="0"/>
              <w:jc w:val="center"/>
            </w:pPr>
            <w:r w:rsidRPr="004B4F5D">
              <w:rPr>
                <w:rStyle w:val="normaltextrun"/>
                <w:rFonts w:eastAsia="Verdana" w:cs="Verdana"/>
              </w:rPr>
              <w:t>89.1%</w:t>
            </w:r>
          </w:p>
        </w:tc>
      </w:tr>
      <w:tr w:rsidR="00DB53A9" w:rsidRPr="00FF01E4" w14:paraId="7619DB7C" w14:textId="77777777" w:rsidTr="00DB53A9">
        <w:trPr>
          <w:cnfStyle w:val="000000010000" w:firstRow="0" w:lastRow="0" w:firstColumn="0" w:lastColumn="0" w:oddVBand="0" w:evenVBand="0" w:oddHBand="0" w:evenHBand="1" w:firstRowFirstColumn="0" w:firstRowLastColumn="0" w:lastRowFirstColumn="0" w:lastRowLastColumn="0"/>
          <w:trHeight w:val="20"/>
        </w:trPr>
        <w:tc>
          <w:tcPr>
            <w:tcW w:w="0" w:type="auto"/>
            <w:tcMar>
              <w:top w:w="115" w:type="dxa"/>
              <w:left w:w="202" w:type="dxa"/>
              <w:right w:w="202" w:type="dxa"/>
            </w:tcMar>
            <w:vAlign w:val="center"/>
          </w:tcPr>
          <w:p w14:paraId="2EDE0CA9" w14:textId="77777777" w:rsidR="00685D19" w:rsidRPr="00975077" w:rsidRDefault="5DDCF1D8" w:rsidP="00DB53A9">
            <w:pPr>
              <w:pStyle w:val="BodyText"/>
              <w:spacing w:before="0"/>
              <w:jc w:val="center"/>
              <w:rPr>
                <w:b/>
              </w:rPr>
            </w:pPr>
            <w:r w:rsidRPr="00975077">
              <w:rPr>
                <w:b/>
              </w:rPr>
              <w:t xml:space="preserve">Hep B, </w:t>
            </w:r>
            <w:r w:rsidR="00DB53A9">
              <w:rPr>
                <w:b/>
              </w:rPr>
              <w:br/>
              <w:t>B</w:t>
            </w:r>
            <w:r w:rsidRPr="00975077">
              <w:rPr>
                <w:b/>
              </w:rPr>
              <w:t xml:space="preserve">irth </w:t>
            </w:r>
            <w:r w:rsidR="00DB53A9">
              <w:rPr>
                <w:b/>
              </w:rPr>
              <w:t>D</w:t>
            </w:r>
            <w:r w:rsidRPr="00975077">
              <w:rPr>
                <w:b/>
              </w:rPr>
              <w:t>ose</w:t>
            </w:r>
            <w:r w:rsidR="00102D3B">
              <w:rPr>
                <w:rStyle w:val="FootnoteReference"/>
                <w:b/>
              </w:rPr>
              <w:footnoteReference w:id="8"/>
            </w:r>
          </w:p>
        </w:tc>
        <w:tc>
          <w:tcPr>
            <w:tcW w:w="0" w:type="auto"/>
            <w:tcMar>
              <w:top w:w="115" w:type="dxa"/>
              <w:left w:w="202" w:type="dxa"/>
              <w:right w:w="202" w:type="dxa"/>
            </w:tcMar>
            <w:vAlign w:val="center"/>
          </w:tcPr>
          <w:p w14:paraId="17987FB8" w14:textId="77777777" w:rsidR="00685D19" w:rsidRPr="00FF01E4" w:rsidRDefault="5DDCF1D8" w:rsidP="00975077">
            <w:pPr>
              <w:pStyle w:val="BodyText"/>
              <w:spacing w:before="0"/>
              <w:jc w:val="center"/>
            </w:pPr>
            <w:r w:rsidRPr="004B4F5D">
              <w:rPr>
                <w:rStyle w:val="normaltextrun"/>
                <w:rFonts w:eastAsia="Verdana" w:cs="Verdana"/>
              </w:rPr>
              <w:t>90.5%</w:t>
            </w:r>
          </w:p>
        </w:tc>
        <w:tc>
          <w:tcPr>
            <w:tcW w:w="0" w:type="auto"/>
            <w:tcMar>
              <w:top w:w="115" w:type="dxa"/>
              <w:left w:w="202" w:type="dxa"/>
              <w:right w:w="202" w:type="dxa"/>
            </w:tcMar>
            <w:vAlign w:val="center"/>
          </w:tcPr>
          <w:p w14:paraId="506884E4" w14:textId="77777777" w:rsidR="00685D19" w:rsidRPr="00FF01E4" w:rsidRDefault="5DDCF1D8" w:rsidP="00975077">
            <w:pPr>
              <w:pStyle w:val="BodyText"/>
              <w:spacing w:before="0"/>
              <w:jc w:val="center"/>
            </w:pPr>
            <w:r w:rsidRPr="004B4F5D">
              <w:rPr>
                <w:rStyle w:val="normaltextrun"/>
                <w:rFonts w:eastAsia="Verdana" w:cs="Verdana"/>
              </w:rPr>
              <w:t>88.3%</w:t>
            </w:r>
          </w:p>
        </w:tc>
        <w:tc>
          <w:tcPr>
            <w:tcW w:w="0" w:type="auto"/>
            <w:tcMar>
              <w:top w:w="115" w:type="dxa"/>
              <w:left w:w="202" w:type="dxa"/>
              <w:right w:w="202" w:type="dxa"/>
            </w:tcMar>
            <w:vAlign w:val="center"/>
          </w:tcPr>
          <w:p w14:paraId="54BF10DE" w14:textId="77777777" w:rsidR="00685D19" w:rsidRPr="004B4F5D" w:rsidRDefault="5DDCF1D8" w:rsidP="00975077">
            <w:pPr>
              <w:pStyle w:val="BodyText"/>
              <w:spacing w:before="0"/>
              <w:jc w:val="center"/>
              <w:rPr>
                <w:rStyle w:val="normaltextrun"/>
                <w:rFonts w:eastAsia="Verdana,Segoe UI" w:cs="Verdana,Segoe UI"/>
                <w:color w:val="000000" w:themeColor="text2"/>
                <w:sz w:val="22"/>
              </w:rPr>
            </w:pPr>
            <w:r w:rsidRPr="004B4F5D">
              <w:rPr>
                <w:rStyle w:val="normaltextrun"/>
                <w:rFonts w:eastAsia="Verdana" w:cs="Verdana"/>
                <w:color w:val="000000" w:themeColor="text2"/>
              </w:rPr>
              <w:t>89.3%</w:t>
            </w:r>
          </w:p>
        </w:tc>
        <w:tc>
          <w:tcPr>
            <w:tcW w:w="0" w:type="auto"/>
            <w:tcMar>
              <w:top w:w="115" w:type="dxa"/>
              <w:left w:w="202" w:type="dxa"/>
              <w:right w:w="202" w:type="dxa"/>
            </w:tcMar>
            <w:vAlign w:val="center"/>
          </w:tcPr>
          <w:p w14:paraId="40F70005" w14:textId="77777777" w:rsidR="00685D19" w:rsidRPr="00FF01E4" w:rsidRDefault="5DDCF1D8" w:rsidP="00975077">
            <w:pPr>
              <w:pStyle w:val="BodyText"/>
              <w:spacing w:before="0"/>
              <w:jc w:val="center"/>
            </w:pPr>
            <w:r w:rsidRPr="004B4F5D">
              <w:rPr>
                <w:rStyle w:val="normaltextrun"/>
                <w:rFonts w:eastAsia="Verdana" w:cs="Verdana"/>
                <w:color w:val="000000" w:themeColor="text2"/>
              </w:rPr>
              <w:t>91.4%</w:t>
            </w:r>
          </w:p>
        </w:tc>
        <w:tc>
          <w:tcPr>
            <w:tcW w:w="0" w:type="auto"/>
            <w:tcMar>
              <w:top w:w="115" w:type="dxa"/>
              <w:left w:w="202" w:type="dxa"/>
              <w:right w:w="202" w:type="dxa"/>
            </w:tcMar>
            <w:vAlign w:val="center"/>
          </w:tcPr>
          <w:p w14:paraId="5EC8A4D1" w14:textId="77777777" w:rsidR="00685D19" w:rsidRPr="00FF01E4" w:rsidRDefault="5DDCF1D8" w:rsidP="00975077">
            <w:pPr>
              <w:pStyle w:val="BodyText"/>
              <w:spacing w:before="0"/>
              <w:jc w:val="center"/>
            </w:pPr>
            <w:r w:rsidRPr="004B4F5D">
              <w:rPr>
                <w:rStyle w:val="normaltextrun"/>
                <w:rFonts w:eastAsia="Verdana" w:cs="Verdana"/>
                <w:color w:val="000000" w:themeColor="text2"/>
              </w:rPr>
              <w:t>96.0%</w:t>
            </w:r>
          </w:p>
        </w:tc>
        <w:tc>
          <w:tcPr>
            <w:tcW w:w="0" w:type="auto"/>
            <w:tcMar>
              <w:top w:w="115" w:type="dxa"/>
              <w:left w:w="202" w:type="dxa"/>
              <w:right w:w="202" w:type="dxa"/>
            </w:tcMar>
            <w:vAlign w:val="center"/>
          </w:tcPr>
          <w:p w14:paraId="5267E06F" w14:textId="77777777" w:rsidR="00685D19" w:rsidRPr="00FF01E4" w:rsidRDefault="5DDCF1D8" w:rsidP="00975077">
            <w:pPr>
              <w:pStyle w:val="BodyText"/>
              <w:spacing w:before="0"/>
              <w:jc w:val="center"/>
            </w:pPr>
            <w:r w:rsidRPr="004B4F5D">
              <w:rPr>
                <w:rStyle w:val="normaltextrun"/>
                <w:rFonts w:eastAsia="Verdana" w:cs="Verdana"/>
              </w:rPr>
              <w:t>85.7%</w:t>
            </w:r>
          </w:p>
        </w:tc>
      </w:tr>
      <w:tr w:rsidR="009974B5" w:rsidRPr="00FF01E4" w14:paraId="467F36AF" w14:textId="77777777" w:rsidTr="006E14EA">
        <w:trPr>
          <w:trHeight w:val="20"/>
        </w:trPr>
        <w:tc>
          <w:tcPr>
            <w:tcW w:w="0" w:type="auto"/>
            <w:tcMar>
              <w:top w:w="115" w:type="dxa"/>
              <w:left w:w="202" w:type="dxa"/>
              <w:right w:w="202" w:type="dxa"/>
            </w:tcMar>
            <w:vAlign w:val="center"/>
          </w:tcPr>
          <w:p w14:paraId="59062A18" w14:textId="77777777" w:rsidR="009974B5" w:rsidRPr="00975077" w:rsidRDefault="00DB53A9" w:rsidP="00DB53A9">
            <w:pPr>
              <w:pStyle w:val="BodyText"/>
              <w:spacing w:before="0"/>
              <w:jc w:val="center"/>
              <w:rPr>
                <w:b/>
              </w:rPr>
            </w:pPr>
            <w:r w:rsidRPr="00975077">
              <w:rPr>
                <w:rStyle w:val="normaltextrun"/>
                <w:rFonts w:eastAsiaTheme="minorBidi"/>
                <w:b/>
              </w:rPr>
              <w:t>≥</w:t>
            </w:r>
            <w:r w:rsidR="009974B5" w:rsidRPr="00975077">
              <w:rPr>
                <w:b/>
              </w:rPr>
              <w:t>1</w:t>
            </w:r>
            <w:r w:rsidR="009974B5">
              <w:rPr>
                <w:b/>
              </w:rPr>
              <w:t xml:space="preserve"> Doses </w:t>
            </w:r>
            <w:r>
              <w:rPr>
                <w:b/>
              </w:rPr>
              <w:br/>
            </w:r>
            <w:r w:rsidR="009974B5">
              <w:rPr>
                <w:b/>
              </w:rPr>
              <w:t>of</w:t>
            </w:r>
            <w:r w:rsidR="009974B5" w:rsidRPr="00975077">
              <w:rPr>
                <w:b/>
              </w:rPr>
              <w:t xml:space="preserve"> </w:t>
            </w:r>
            <w:r w:rsidR="00A02B50">
              <w:rPr>
                <w:b/>
              </w:rPr>
              <w:t>MMR</w:t>
            </w:r>
          </w:p>
        </w:tc>
        <w:tc>
          <w:tcPr>
            <w:tcW w:w="0" w:type="auto"/>
            <w:tcMar>
              <w:top w:w="115" w:type="dxa"/>
              <w:left w:w="202" w:type="dxa"/>
              <w:right w:w="202" w:type="dxa"/>
            </w:tcMar>
            <w:vAlign w:val="center"/>
          </w:tcPr>
          <w:p w14:paraId="5C89B2E8" w14:textId="77777777" w:rsidR="009974B5" w:rsidRPr="004B4F5D" w:rsidRDefault="009974B5" w:rsidP="009974B5">
            <w:pPr>
              <w:pStyle w:val="BodyText"/>
              <w:spacing w:before="0"/>
              <w:jc w:val="center"/>
              <w:rPr>
                <w:rStyle w:val="normaltextrun"/>
                <w:rFonts w:eastAsia="Verdana" w:cs="Verdana"/>
              </w:rPr>
            </w:pPr>
            <w:r w:rsidRPr="004B4F5D">
              <w:rPr>
                <w:rStyle w:val="normaltextrun"/>
                <w:rFonts w:eastAsia="Verdana" w:cs="Verdana"/>
              </w:rPr>
              <w:t>91.1%</w:t>
            </w:r>
          </w:p>
        </w:tc>
        <w:tc>
          <w:tcPr>
            <w:tcW w:w="0" w:type="auto"/>
            <w:tcMar>
              <w:top w:w="115" w:type="dxa"/>
              <w:left w:w="202" w:type="dxa"/>
              <w:right w:w="202" w:type="dxa"/>
            </w:tcMar>
            <w:vAlign w:val="center"/>
          </w:tcPr>
          <w:p w14:paraId="29A16678" w14:textId="77777777" w:rsidR="009974B5" w:rsidRPr="004B4F5D" w:rsidRDefault="009974B5" w:rsidP="009974B5">
            <w:pPr>
              <w:pStyle w:val="BodyText"/>
              <w:spacing w:before="0"/>
              <w:jc w:val="center"/>
              <w:rPr>
                <w:rStyle w:val="normaltextrun"/>
                <w:rFonts w:eastAsia="Verdana" w:cs="Verdana"/>
              </w:rPr>
            </w:pPr>
            <w:r w:rsidRPr="004B4F5D">
              <w:rPr>
                <w:rStyle w:val="normaltextrun"/>
                <w:rFonts w:eastAsia="Verdana" w:cs="Verdana"/>
              </w:rPr>
              <w:t>89.8%</w:t>
            </w:r>
          </w:p>
        </w:tc>
        <w:tc>
          <w:tcPr>
            <w:tcW w:w="0" w:type="auto"/>
            <w:tcMar>
              <w:top w:w="115" w:type="dxa"/>
              <w:left w:w="202" w:type="dxa"/>
              <w:right w:w="202" w:type="dxa"/>
            </w:tcMar>
            <w:vAlign w:val="center"/>
          </w:tcPr>
          <w:p w14:paraId="2FE4CA8F" w14:textId="77777777" w:rsidR="009974B5" w:rsidRPr="004B4F5D" w:rsidRDefault="009974B5" w:rsidP="009974B5">
            <w:pPr>
              <w:pStyle w:val="BodyText"/>
              <w:spacing w:before="0"/>
              <w:jc w:val="center"/>
              <w:rPr>
                <w:rStyle w:val="normaltextrun"/>
                <w:rFonts w:eastAsia="Verdana" w:cs="Verdana"/>
                <w:color w:val="000000" w:themeColor="text2"/>
              </w:rPr>
            </w:pPr>
            <w:r w:rsidRPr="004B4F5D">
              <w:rPr>
                <w:rStyle w:val="normaltextrun"/>
                <w:rFonts w:eastAsia="Verdana" w:cs="Verdana"/>
                <w:color w:val="000000" w:themeColor="text2"/>
              </w:rPr>
              <w:t>94.5%</w:t>
            </w:r>
          </w:p>
        </w:tc>
        <w:tc>
          <w:tcPr>
            <w:tcW w:w="0" w:type="auto"/>
            <w:tcMar>
              <w:top w:w="115" w:type="dxa"/>
              <w:left w:w="202" w:type="dxa"/>
              <w:right w:w="202" w:type="dxa"/>
            </w:tcMar>
            <w:vAlign w:val="center"/>
          </w:tcPr>
          <w:p w14:paraId="773B95EE" w14:textId="77777777" w:rsidR="009974B5" w:rsidRPr="004B4F5D" w:rsidRDefault="009974B5" w:rsidP="009974B5">
            <w:pPr>
              <w:pStyle w:val="BodyText"/>
              <w:spacing w:before="0"/>
              <w:jc w:val="center"/>
              <w:rPr>
                <w:rStyle w:val="normaltextrun"/>
                <w:rFonts w:eastAsia="Verdana" w:cs="Verdana"/>
                <w:color w:val="000000" w:themeColor="text2"/>
              </w:rPr>
            </w:pPr>
            <w:r w:rsidRPr="004B4F5D">
              <w:rPr>
                <w:rStyle w:val="normaltextrun"/>
                <w:rFonts w:eastAsia="Verdana" w:cs="Verdana"/>
                <w:color w:val="000000" w:themeColor="text2"/>
              </w:rPr>
              <w:t>91.5%</w:t>
            </w:r>
          </w:p>
        </w:tc>
        <w:tc>
          <w:tcPr>
            <w:tcW w:w="0" w:type="auto"/>
            <w:tcMar>
              <w:top w:w="115" w:type="dxa"/>
              <w:left w:w="202" w:type="dxa"/>
              <w:right w:w="202" w:type="dxa"/>
            </w:tcMar>
            <w:vAlign w:val="center"/>
          </w:tcPr>
          <w:p w14:paraId="43F3BE53" w14:textId="77777777" w:rsidR="009974B5" w:rsidRPr="004B4F5D" w:rsidRDefault="009974B5" w:rsidP="009974B5">
            <w:pPr>
              <w:pStyle w:val="BodyText"/>
              <w:spacing w:before="0"/>
              <w:jc w:val="center"/>
              <w:rPr>
                <w:rStyle w:val="normaltextrun"/>
                <w:rFonts w:eastAsia="Verdana" w:cs="Verdana"/>
                <w:color w:val="000000" w:themeColor="text2"/>
              </w:rPr>
            </w:pPr>
            <w:r w:rsidRPr="004B4F5D">
              <w:rPr>
                <w:rStyle w:val="normaltextrun"/>
                <w:rFonts w:eastAsia="Verdana" w:cs="Verdana"/>
                <w:color w:val="000000" w:themeColor="text2"/>
              </w:rPr>
              <w:t>94.8%</w:t>
            </w:r>
          </w:p>
        </w:tc>
        <w:tc>
          <w:tcPr>
            <w:tcW w:w="0" w:type="auto"/>
            <w:tcMar>
              <w:top w:w="115" w:type="dxa"/>
              <w:left w:w="202" w:type="dxa"/>
              <w:right w:w="202" w:type="dxa"/>
            </w:tcMar>
            <w:vAlign w:val="center"/>
          </w:tcPr>
          <w:p w14:paraId="78D96185" w14:textId="77777777" w:rsidR="009974B5" w:rsidRPr="004B4F5D" w:rsidRDefault="009974B5" w:rsidP="009974B5">
            <w:pPr>
              <w:pStyle w:val="BodyText"/>
              <w:spacing w:before="0"/>
              <w:jc w:val="center"/>
              <w:rPr>
                <w:rStyle w:val="normaltextrun"/>
                <w:rFonts w:eastAsia="Verdana" w:cs="Verdana"/>
              </w:rPr>
            </w:pPr>
            <w:r w:rsidRPr="004B4F5D">
              <w:rPr>
                <w:rStyle w:val="normaltextrun"/>
                <w:rFonts w:eastAsia="Verdana" w:cs="Verdana"/>
                <w:color w:val="000000" w:themeColor="text2"/>
              </w:rPr>
              <w:t>91.2%</w:t>
            </w:r>
          </w:p>
        </w:tc>
      </w:tr>
      <w:tr w:rsidR="009974B5" w:rsidRPr="00FF01E4" w14:paraId="7B0C31F2" w14:textId="77777777" w:rsidTr="006E14EA">
        <w:trPr>
          <w:cnfStyle w:val="000000010000" w:firstRow="0" w:lastRow="0" w:firstColumn="0" w:lastColumn="0" w:oddVBand="0" w:evenVBand="0" w:oddHBand="0" w:evenHBand="1" w:firstRowFirstColumn="0" w:firstRowLastColumn="0" w:lastRowFirstColumn="0" w:lastRowLastColumn="0"/>
          <w:trHeight w:val="20"/>
        </w:trPr>
        <w:tc>
          <w:tcPr>
            <w:tcW w:w="0" w:type="auto"/>
            <w:tcMar>
              <w:top w:w="115" w:type="dxa"/>
              <w:left w:w="202" w:type="dxa"/>
              <w:right w:w="202" w:type="dxa"/>
            </w:tcMar>
            <w:vAlign w:val="center"/>
          </w:tcPr>
          <w:p w14:paraId="1961ABB9" w14:textId="77777777" w:rsidR="00685D19" w:rsidRPr="00975077" w:rsidRDefault="00102D3B" w:rsidP="00102D3B">
            <w:pPr>
              <w:pStyle w:val="BodyText"/>
              <w:spacing w:before="0"/>
              <w:jc w:val="center"/>
              <w:rPr>
                <w:b/>
              </w:rPr>
            </w:pPr>
            <w:r w:rsidRPr="00975077">
              <w:rPr>
                <w:rStyle w:val="normaltextrun"/>
                <w:rFonts w:eastAsiaTheme="minorBidi"/>
                <w:b/>
              </w:rPr>
              <w:t>≥</w:t>
            </w:r>
            <w:r>
              <w:rPr>
                <w:rStyle w:val="normaltextrun"/>
                <w:rFonts w:eastAsiaTheme="minorBidi"/>
                <w:b/>
              </w:rPr>
              <w:t>4</w:t>
            </w:r>
            <w:r>
              <w:rPr>
                <w:b/>
              </w:rPr>
              <w:t xml:space="preserve"> Doses </w:t>
            </w:r>
            <w:r>
              <w:rPr>
                <w:b/>
              </w:rPr>
              <w:br/>
              <w:t>of</w:t>
            </w:r>
            <w:r w:rsidRPr="00975077">
              <w:rPr>
                <w:b/>
              </w:rPr>
              <w:t xml:space="preserve"> </w:t>
            </w:r>
            <w:r w:rsidR="5DDCF1D8" w:rsidRPr="00975077">
              <w:rPr>
                <w:b/>
              </w:rPr>
              <w:t>PCV</w:t>
            </w:r>
          </w:p>
        </w:tc>
        <w:tc>
          <w:tcPr>
            <w:tcW w:w="0" w:type="auto"/>
            <w:tcMar>
              <w:top w:w="115" w:type="dxa"/>
              <w:left w:w="202" w:type="dxa"/>
              <w:right w:w="202" w:type="dxa"/>
            </w:tcMar>
            <w:vAlign w:val="center"/>
          </w:tcPr>
          <w:p w14:paraId="53058B02" w14:textId="77777777" w:rsidR="00685D19" w:rsidRPr="00FF01E4" w:rsidRDefault="5DDCF1D8" w:rsidP="00975077">
            <w:pPr>
              <w:pStyle w:val="BodyText"/>
              <w:spacing w:before="0"/>
              <w:jc w:val="center"/>
            </w:pPr>
            <w:r w:rsidRPr="004B4F5D">
              <w:rPr>
                <w:rStyle w:val="normaltextrun"/>
                <w:rFonts w:eastAsia="Verdana" w:cs="Verdana"/>
              </w:rPr>
              <w:t>81.8%</w:t>
            </w:r>
          </w:p>
        </w:tc>
        <w:tc>
          <w:tcPr>
            <w:tcW w:w="0" w:type="auto"/>
            <w:tcMar>
              <w:top w:w="115" w:type="dxa"/>
              <w:left w:w="202" w:type="dxa"/>
              <w:right w:w="202" w:type="dxa"/>
            </w:tcMar>
            <w:vAlign w:val="center"/>
          </w:tcPr>
          <w:p w14:paraId="16B2AB6A" w14:textId="77777777" w:rsidR="00685D19" w:rsidRPr="00FF01E4" w:rsidRDefault="5DDCF1D8" w:rsidP="00975077">
            <w:pPr>
              <w:pStyle w:val="BodyText"/>
              <w:spacing w:before="0"/>
              <w:jc w:val="center"/>
            </w:pPr>
            <w:r w:rsidRPr="004B4F5D">
              <w:rPr>
                <w:rStyle w:val="normaltextrun"/>
                <w:rFonts w:eastAsia="Verdana" w:cs="Verdana"/>
              </w:rPr>
              <w:t>82.4%</w:t>
            </w:r>
          </w:p>
        </w:tc>
        <w:tc>
          <w:tcPr>
            <w:tcW w:w="0" w:type="auto"/>
            <w:tcMar>
              <w:top w:w="115" w:type="dxa"/>
              <w:left w:w="202" w:type="dxa"/>
              <w:right w:w="202" w:type="dxa"/>
            </w:tcMar>
            <w:vAlign w:val="center"/>
          </w:tcPr>
          <w:p w14:paraId="5F66B342" w14:textId="77777777" w:rsidR="00685D19" w:rsidRPr="004B4F5D" w:rsidRDefault="5DDCF1D8" w:rsidP="00975077">
            <w:pPr>
              <w:pStyle w:val="BodyText"/>
              <w:spacing w:before="0"/>
              <w:jc w:val="center"/>
              <w:rPr>
                <w:rStyle w:val="normaltextrun"/>
                <w:rFonts w:eastAsia="Verdana,Segoe UI" w:cs="Verdana,Segoe UI"/>
                <w:color w:val="000000" w:themeColor="text2"/>
                <w:sz w:val="22"/>
              </w:rPr>
            </w:pPr>
            <w:r w:rsidRPr="004B4F5D">
              <w:rPr>
                <w:rStyle w:val="normaltextrun"/>
                <w:rFonts w:eastAsia="Verdana" w:cs="Verdana"/>
                <w:color w:val="000000" w:themeColor="text2"/>
              </w:rPr>
              <w:t>86.8%</w:t>
            </w:r>
          </w:p>
        </w:tc>
        <w:tc>
          <w:tcPr>
            <w:tcW w:w="0" w:type="auto"/>
            <w:tcMar>
              <w:top w:w="115" w:type="dxa"/>
              <w:left w:w="202" w:type="dxa"/>
              <w:right w:w="202" w:type="dxa"/>
            </w:tcMar>
            <w:vAlign w:val="center"/>
          </w:tcPr>
          <w:p w14:paraId="01F7DC33" w14:textId="77777777" w:rsidR="00685D19" w:rsidRPr="00FF01E4" w:rsidRDefault="5DDCF1D8" w:rsidP="00975077">
            <w:pPr>
              <w:pStyle w:val="BodyText"/>
              <w:spacing w:before="0"/>
              <w:jc w:val="center"/>
            </w:pPr>
            <w:r w:rsidRPr="004B4F5D">
              <w:rPr>
                <w:rStyle w:val="normaltextrun"/>
                <w:rFonts w:eastAsia="Verdana" w:cs="Verdana"/>
                <w:color w:val="000000" w:themeColor="text2"/>
              </w:rPr>
              <w:t>82.5%</w:t>
            </w:r>
          </w:p>
        </w:tc>
        <w:tc>
          <w:tcPr>
            <w:tcW w:w="0" w:type="auto"/>
            <w:tcMar>
              <w:top w:w="115" w:type="dxa"/>
              <w:left w:w="202" w:type="dxa"/>
              <w:right w:w="202" w:type="dxa"/>
            </w:tcMar>
            <w:vAlign w:val="center"/>
          </w:tcPr>
          <w:p w14:paraId="1CC72F40" w14:textId="77777777" w:rsidR="00685D19" w:rsidRPr="00FF01E4" w:rsidRDefault="5DDCF1D8" w:rsidP="00975077">
            <w:pPr>
              <w:pStyle w:val="BodyText"/>
              <w:spacing w:before="0"/>
              <w:jc w:val="center"/>
            </w:pPr>
            <w:r w:rsidRPr="004B4F5D">
              <w:rPr>
                <w:rStyle w:val="normaltextrun"/>
                <w:rFonts w:eastAsia="Verdana" w:cs="Verdana"/>
                <w:color w:val="000000" w:themeColor="text2"/>
              </w:rPr>
              <w:t>81.0%</w:t>
            </w:r>
          </w:p>
        </w:tc>
        <w:tc>
          <w:tcPr>
            <w:tcW w:w="0" w:type="auto"/>
            <w:tcMar>
              <w:top w:w="115" w:type="dxa"/>
              <w:left w:w="202" w:type="dxa"/>
              <w:right w:w="202" w:type="dxa"/>
            </w:tcMar>
            <w:vAlign w:val="center"/>
          </w:tcPr>
          <w:p w14:paraId="206C6FDD" w14:textId="77777777" w:rsidR="00685D19" w:rsidRPr="00FF01E4" w:rsidRDefault="5DDCF1D8" w:rsidP="00975077">
            <w:pPr>
              <w:pStyle w:val="BodyText"/>
              <w:spacing w:before="0"/>
              <w:jc w:val="center"/>
            </w:pPr>
            <w:r w:rsidRPr="004B4F5D">
              <w:rPr>
                <w:rStyle w:val="normaltextrun"/>
                <w:rFonts w:eastAsia="Verdana" w:cs="Verdana"/>
              </w:rPr>
              <w:t>84.0%</w:t>
            </w:r>
          </w:p>
        </w:tc>
      </w:tr>
      <w:tr w:rsidR="009974B5" w:rsidRPr="00FF01E4" w14:paraId="3B18A678" w14:textId="77777777" w:rsidTr="006E14EA">
        <w:trPr>
          <w:trHeight w:val="20"/>
        </w:trPr>
        <w:tc>
          <w:tcPr>
            <w:tcW w:w="0" w:type="auto"/>
            <w:tcMar>
              <w:top w:w="115" w:type="dxa"/>
              <w:left w:w="202" w:type="dxa"/>
              <w:right w:w="202" w:type="dxa"/>
            </w:tcMar>
            <w:vAlign w:val="center"/>
          </w:tcPr>
          <w:p w14:paraId="1DE507C1" w14:textId="77777777" w:rsidR="009974B5" w:rsidRPr="00975077" w:rsidRDefault="00DB53A9" w:rsidP="00DB53A9">
            <w:pPr>
              <w:pStyle w:val="BodyText"/>
              <w:spacing w:before="0"/>
              <w:jc w:val="center"/>
              <w:rPr>
                <w:b/>
              </w:rPr>
            </w:pPr>
            <w:r w:rsidRPr="00975077">
              <w:rPr>
                <w:rStyle w:val="normaltextrun"/>
                <w:rFonts w:eastAsiaTheme="minorBidi"/>
                <w:b/>
              </w:rPr>
              <w:t>≥</w:t>
            </w:r>
            <w:r w:rsidR="009974B5" w:rsidRPr="00975077">
              <w:rPr>
                <w:b/>
              </w:rPr>
              <w:t>3</w:t>
            </w:r>
            <w:r w:rsidR="009974B5">
              <w:rPr>
                <w:b/>
              </w:rPr>
              <w:t xml:space="preserve"> Doses </w:t>
            </w:r>
            <w:r>
              <w:rPr>
                <w:b/>
              </w:rPr>
              <w:br/>
            </w:r>
            <w:r w:rsidR="009974B5">
              <w:rPr>
                <w:b/>
              </w:rPr>
              <w:t>of</w:t>
            </w:r>
            <w:r w:rsidR="009974B5" w:rsidRPr="00975077">
              <w:rPr>
                <w:b/>
              </w:rPr>
              <w:t xml:space="preserve"> Polio</w:t>
            </w:r>
          </w:p>
        </w:tc>
        <w:tc>
          <w:tcPr>
            <w:tcW w:w="0" w:type="auto"/>
            <w:tcMar>
              <w:top w:w="115" w:type="dxa"/>
              <w:left w:w="202" w:type="dxa"/>
              <w:right w:w="202" w:type="dxa"/>
            </w:tcMar>
            <w:vAlign w:val="center"/>
          </w:tcPr>
          <w:p w14:paraId="76672DE2" w14:textId="77777777" w:rsidR="009974B5" w:rsidRPr="004B4F5D" w:rsidRDefault="009974B5" w:rsidP="009974B5">
            <w:pPr>
              <w:pStyle w:val="BodyText"/>
              <w:spacing w:before="0"/>
              <w:jc w:val="center"/>
              <w:rPr>
                <w:rStyle w:val="normaltextrun"/>
                <w:rFonts w:eastAsia="Verdana" w:cs="Verdana"/>
              </w:rPr>
            </w:pPr>
            <w:r w:rsidRPr="004B4F5D">
              <w:rPr>
                <w:rStyle w:val="normaltextrun"/>
                <w:rFonts w:eastAsia="Verdana" w:cs="Verdana"/>
              </w:rPr>
              <w:t>91.9%</w:t>
            </w:r>
          </w:p>
        </w:tc>
        <w:tc>
          <w:tcPr>
            <w:tcW w:w="0" w:type="auto"/>
            <w:tcMar>
              <w:top w:w="115" w:type="dxa"/>
              <w:left w:w="202" w:type="dxa"/>
              <w:right w:w="202" w:type="dxa"/>
            </w:tcMar>
            <w:vAlign w:val="center"/>
          </w:tcPr>
          <w:p w14:paraId="6F582ED6" w14:textId="77777777" w:rsidR="009974B5" w:rsidRPr="004B4F5D" w:rsidRDefault="009974B5" w:rsidP="009974B5">
            <w:pPr>
              <w:pStyle w:val="BodyText"/>
              <w:spacing w:before="0"/>
              <w:jc w:val="center"/>
              <w:rPr>
                <w:rStyle w:val="normaltextrun"/>
                <w:rFonts w:eastAsia="Verdana" w:cs="Verdana"/>
              </w:rPr>
            </w:pPr>
            <w:r w:rsidRPr="004B4F5D">
              <w:rPr>
                <w:rStyle w:val="normaltextrun"/>
                <w:rFonts w:eastAsia="Verdana" w:cs="Verdana"/>
              </w:rPr>
              <w:t>90.1%</w:t>
            </w:r>
          </w:p>
        </w:tc>
        <w:tc>
          <w:tcPr>
            <w:tcW w:w="0" w:type="auto"/>
            <w:tcMar>
              <w:top w:w="115" w:type="dxa"/>
              <w:left w:w="202" w:type="dxa"/>
              <w:right w:w="202" w:type="dxa"/>
            </w:tcMar>
            <w:vAlign w:val="center"/>
          </w:tcPr>
          <w:p w14:paraId="2509ABC6" w14:textId="77777777" w:rsidR="009974B5" w:rsidRPr="004B4F5D" w:rsidRDefault="009974B5" w:rsidP="009974B5">
            <w:pPr>
              <w:pStyle w:val="BodyText"/>
              <w:spacing w:before="0"/>
              <w:jc w:val="center"/>
              <w:rPr>
                <w:rStyle w:val="normaltextrun"/>
                <w:rFonts w:eastAsia="Verdana" w:cs="Verdana"/>
                <w:color w:val="000000" w:themeColor="text2"/>
              </w:rPr>
            </w:pPr>
            <w:r w:rsidRPr="004B4F5D">
              <w:rPr>
                <w:rStyle w:val="normaltextrun"/>
                <w:rFonts w:eastAsia="Verdana" w:cs="Verdana"/>
                <w:color w:val="000000" w:themeColor="text2"/>
              </w:rPr>
              <w:t>90.7%</w:t>
            </w:r>
          </w:p>
        </w:tc>
        <w:tc>
          <w:tcPr>
            <w:tcW w:w="0" w:type="auto"/>
            <w:tcMar>
              <w:top w:w="115" w:type="dxa"/>
              <w:left w:w="202" w:type="dxa"/>
              <w:right w:w="202" w:type="dxa"/>
            </w:tcMar>
            <w:vAlign w:val="center"/>
          </w:tcPr>
          <w:p w14:paraId="7F0F9149" w14:textId="77777777" w:rsidR="009974B5" w:rsidRPr="004B4F5D" w:rsidRDefault="009974B5" w:rsidP="009974B5">
            <w:pPr>
              <w:pStyle w:val="BodyText"/>
              <w:spacing w:before="0"/>
              <w:jc w:val="center"/>
              <w:rPr>
                <w:rStyle w:val="normaltextrun"/>
                <w:rFonts w:eastAsia="Verdana" w:cs="Verdana"/>
                <w:color w:val="000000" w:themeColor="text2"/>
              </w:rPr>
            </w:pPr>
            <w:r w:rsidRPr="004B4F5D">
              <w:rPr>
                <w:rStyle w:val="normaltextrun"/>
                <w:rFonts w:eastAsia="Verdana" w:cs="Verdana"/>
                <w:color w:val="000000" w:themeColor="text2"/>
              </w:rPr>
              <w:t>91.2%</w:t>
            </w:r>
          </w:p>
        </w:tc>
        <w:tc>
          <w:tcPr>
            <w:tcW w:w="0" w:type="auto"/>
            <w:tcMar>
              <w:top w:w="115" w:type="dxa"/>
              <w:left w:w="202" w:type="dxa"/>
              <w:right w:w="202" w:type="dxa"/>
            </w:tcMar>
            <w:vAlign w:val="center"/>
          </w:tcPr>
          <w:p w14:paraId="13458CDE" w14:textId="77777777" w:rsidR="009974B5" w:rsidRPr="004B4F5D" w:rsidRDefault="009974B5" w:rsidP="009974B5">
            <w:pPr>
              <w:pStyle w:val="BodyText"/>
              <w:spacing w:before="0"/>
              <w:jc w:val="center"/>
              <w:rPr>
                <w:rStyle w:val="normaltextrun"/>
                <w:rFonts w:eastAsia="Verdana" w:cs="Verdana"/>
                <w:color w:val="000000" w:themeColor="text2"/>
              </w:rPr>
            </w:pPr>
            <w:r w:rsidRPr="004B4F5D">
              <w:rPr>
                <w:rStyle w:val="normaltextrun"/>
                <w:rFonts w:eastAsia="Verdana" w:cs="Verdana"/>
                <w:color w:val="000000" w:themeColor="text2"/>
              </w:rPr>
              <w:t>94.4%</w:t>
            </w:r>
          </w:p>
        </w:tc>
        <w:tc>
          <w:tcPr>
            <w:tcW w:w="0" w:type="auto"/>
            <w:tcMar>
              <w:top w:w="115" w:type="dxa"/>
              <w:left w:w="202" w:type="dxa"/>
              <w:right w:w="202" w:type="dxa"/>
            </w:tcMar>
            <w:vAlign w:val="center"/>
          </w:tcPr>
          <w:p w14:paraId="6E39D120" w14:textId="77777777" w:rsidR="009974B5" w:rsidRPr="004B4F5D" w:rsidRDefault="009974B5" w:rsidP="009974B5">
            <w:pPr>
              <w:pStyle w:val="BodyText"/>
              <w:spacing w:before="0"/>
              <w:jc w:val="center"/>
              <w:rPr>
                <w:rStyle w:val="normaltextrun"/>
                <w:rFonts w:eastAsia="Verdana" w:cs="Verdana"/>
              </w:rPr>
            </w:pPr>
            <w:r w:rsidRPr="004B4F5D">
              <w:rPr>
                <w:rStyle w:val="normaltextrun"/>
                <w:rFonts w:eastAsia="Verdana" w:cs="Verdana"/>
                <w:color w:val="000000" w:themeColor="text2"/>
              </w:rPr>
              <w:t>91.0%</w:t>
            </w:r>
          </w:p>
        </w:tc>
      </w:tr>
      <w:tr w:rsidR="00102D3B" w:rsidRPr="00FF01E4" w14:paraId="2E19065F" w14:textId="77777777" w:rsidTr="00BA0F8E">
        <w:trPr>
          <w:cnfStyle w:val="000000010000" w:firstRow="0" w:lastRow="0" w:firstColumn="0" w:lastColumn="0" w:oddVBand="0" w:evenVBand="0" w:oddHBand="0" w:evenHBand="1" w:firstRowFirstColumn="0" w:firstRowLastColumn="0" w:lastRowFirstColumn="0" w:lastRowLastColumn="0"/>
          <w:trHeight w:val="475"/>
        </w:trPr>
        <w:tc>
          <w:tcPr>
            <w:tcW w:w="0" w:type="auto"/>
            <w:tcMar>
              <w:top w:w="115" w:type="dxa"/>
              <w:left w:w="202" w:type="dxa"/>
              <w:right w:w="202" w:type="dxa"/>
            </w:tcMar>
            <w:vAlign w:val="center"/>
          </w:tcPr>
          <w:p w14:paraId="3BB72E86" w14:textId="77777777" w:rsidR="00102D3B" w:rsidRPr="00975077" w:rsidRDefault="00102D3B" w:rsidP="00DB53A9">
            <w:pPr>
              <w:pStyle w:val="BodyText"/>
              <w:spacing w:before="0"/>
              <w:jc w:val="center"/>
              <w:rPr>
                <w:rStyle w:val="normaltextrun"/>
                <w:rFonts w:eastAsiaTheme="minorBidi"/>
                <w:b/>
              </w:rPr>
            </w:pPr>
            <w:r>
              <w:rPr>
                <w:rStyle w:val="normaltextrun"/>
                <w:rFonts w:eastAsiaTheme="minorBidi"/>
                <w:b/>
              </w:rPr>
              <w:t>Rotavirus</w:t>
            </w:r>
            <w:r>
              <w:rPr>
                <w:rStyle w:val="FootnoteReference"/>
                <w:rFonts w:eastAsiaTheme="minorBidi"/>
                <w:b/>
              </w:rPr>
              <w:footnoteReference w:id="9"/>
            </w:r>
          </w:p>
        </w:tc>
        <w:tc>
          <w:tcPr>
            <w:tcW w:w="0" w:type="auto"/>
            <w:tcMar>
              <w:top w:w="115" w:type="dxa"/>
              <w:left w:w="202" w:type="dxa"/>
              <w:right w:w="202" w:type="dxa"/>
            </w:tcMar>
            <w:vAlign w:val="center"/>
          </w:tcPr>
          <w:p w14:paraId="7D8097DA" w14:textId="77777777" w:rsidR="00102D3B" w:rsidRPr="004B4F5D" w:rsidRDefault="00102D3B" w:rsidP="009974B5">
            <w:pPr>
              <w:pStyle w:val="BodyText"/>
              <w:spacing w:before="0"/>
              <w:jc w:val="center"/>
              <w:rPr>
                <w:rStyle w:val="normaltextrun"/>
                <w:rFonts w:eastAsia="Verdana" w:cs="Verdana"/>
              </w:rPr>
            </w:pPr>
            <w:r>
              <w:rPr>
                <w:rStyle w:val="normaltextrun"/>
                <w:rFonts w:eastAsia="Verdana" w:cs="Verdana"/>
              </w:rPr>
              <w:t>74.1%</w:t>
            </w:r>
          </w:p>
        </w:tc>
        <w:tc>
          <w:tcPr>
            <w:tcW w:w="0" w:type="auto"/>
            <w:tcMar>
              <w:top w:w="115" w:type="dxa"/>
              <w:left w:w="202" w:type="dxa"/>
              <w:right w:w="202" w:type="dxa"/>
            </w:tcMar>
            <w:vAlign w:val="center"/>
          </w:tcPr>
          <w:p w14:paraId="494E89D8" w14:textId="77777777" w:rsidR="00102D3B" w:rsidRPr="004B4F5D" w:rsidRDefault="00102D3B" w:rsidP="009974B5">
            <w:pPr>
              <w:pStyle w:val="BodyText"/>
              <w:spacing w:before="0"/>
              <w:jc w:val="center"/>
              <w:rPr>
                <w:rStyle w:val="normaltextrun"/>
                <w:rFonts w:eastAsia="Verdana" w:cs="Verdana"/>
              </w:rPr>
            </w:pPr>
            <w:r>
              <w:rPr>
                <w:rStyle w:val="normaltextrun"/>
                <w:rFonts w:eastAsia="Verdana" w:cs="Verdana"/>
              </w:rPr>
              <w:t>72.7%</w:t>
            </w:r>
          </w:p>
        </w:tc>
        <w:tc>
          <w:tcPr>
            <w:tcW w:w="0" w:type="auto"/>
            <w:tcMar>
              <w:top w:w="115" w:type="dxa"/>
              <w:left w:w="202" w:type="dxa"/>
              <w:right w:w="202" w:type="dxa"/>
            </w:tcMar>
            <w:vAlign w:val="center"/>
          </w:tcPr>
          <w:p w14:paraId="650B02DA" w14:textId="77777777" w:rsidR="00102D3B" w:rsidRPr="004B4F5D" w:rsidRDefault="000C1395" w:rsidP="009974B5">
            <w:pPr>
              <w:pStyle w:val="BodyText"/>
              <w:spacing w:before="0"/>
              <w:jc w:val="center"/>
              <w:rPr>
                <w:rStyle w:val="normaltextrun"/>
                <w:rFonts w:eastAsia="Verdana" w:cs="Verdana"/>
                <w:color w:val="000000" w:themeColor="text2"/>
              </w:rPr>
            </w:pPr>
            <w:r>
              <w:rPr>
                <w:rStyle w:val="normaltextrun"/>
                <w:rFonts w:eastAsia="Verdana" w:cs="Verdana"/>
                <w:color w:val="000000" w:themeColor="text2"/>
              </w:rPr>
              <w:t>79.6%</w:t>
            </w:r>
          </w:p>
        </w:tc>
        <w:tc>
          <w:tcPr>
            <w:tcW w:w="0" w:type="auto"/>
            <w:tcMar>
              <w:top w:w="115" w:type="dxa"/>
              <w:left w:w="202" w:type="dxa"/>
              <w:right w:w="202" w:type="dxa"/>
            </w:tcMar>
            <w:vAlign w:val="center"/>
          </w:tcPr>
          <w:p w14:paraId="727947CC" w14:textId="77777777" w:rsidR="00102D3B" w:rsidRPr="004B4F5D" w:rsidRDefault="000C1395" w:rsidP="009974B5">
            <w:pPr>
              <w:pStyle w:val="BodyText"/>
              <w:spacing w:before="0"/>
              <w:jc w:val="center"/>
              <w:rPr>
                <w:rStyle w:val="normaltextrun"/>
                <w:rFonts w:eastAsia="Verdana" w:cs="Verdana"/>
                <w:color w:val="000000" w:themeColor="text2"/>
              </w:rPr>
            </w:pPr>
            <w:r>
              <w:rPr>
                <w:rStyle w:val="normaltextrun"/>
                <w:rFonts w:eastAsia="Verdana" w:cs="Verdana"/>
                <w:color w:val="000000" w:themeColor="text2"/>
              </w:rPr>
              <w:t>71.7%</w:t>
            </w:r>
          </w:p>
        </w:tc>
        <w:tc>
          <w:tcPr>
            <w:tcW w:w="0" w:type="auto"/>
            <w:tcMar>
              <w:top w:w="115" w:type="dxa"/>
              <w:left w:w="202" w:type="dxa"/>
              <w:right w:w="202" w:type="dxa"/>
            </w:tcMar>
            <w:vAlign w:val="center"/>
          </w:tcPr>
          <w:p w14:paraId="31C45ED0" w14:textId="77777777" w:rsidR="00102D3B" w:rsidRPr="004B4F5D" w:rsidRDefault="000C1395" w:rsidP="009974B5">
            <w:pPr>
              <w:pStyle w:val="BodyText"/>
              <w:spacing w:before="0"/>
              <w:jc w:val="center"/>
              <w:rPr>
                <w:rStyle w:val="normaltextrun"/>
                <w:rFonts w:eastAsia="Verdana" w:cs="Verdana"/>
                <w:color w:val="000000" w:themeColor="text2"/>
              </w:rPr>
            </w:pPr>
            <w:r>
              <w:rPr>
                <w:rStyle w:val="normaltextrun"/>
                <w:rFonts w:eastAsia="Verdana" w:cs="Verdana"/>
                <w:color w:val="000000" w:themeColor="text2"/>
              </w:rPr>
              <w:t>78.5%</w:t>
            </w:r>
          </w:p>
        </w:tc>
        <w:tc>
          <w:tcPr>
            <w:tcW w:w="0" w:type="auto"/>
            <w:tcMar>
              <w:top w:w="115" w:type="dxa"/>
              <w:left w:w="202" w:type="dxa"/>
              <w:right w:w="202" w:type="dxa"/>
            </w:tcMar>
            <w:vAlign w:val="center"/>
          </w:tcPr>
          <w:p w14:paraId="55761539" w14:textId="77777777" w:rsidR="00102D3B" w:rsidRPr="004B4F5D" w:rsidRDefault="000C1395" w:rsidP="009974B5">
            <w:pPr>
              <w:pStyle w:val="BodyText"/>
              <w:spacing w:before="0"/>
              <w:jc w:val="center"/>
              <w:rPr>
                <w:rStyle w:val="normaltextrun"/>
                <w:rFonts w:eastAsia="Verdana" w:cs="Verdana"/>
                <w:color w:val="000000" w:themeColor="text2"/>
              </w:rPr>
            </w:pPr>
            <w:r>
              <w:rPr>
                <w:rStyle w:val="normaltextrun"/>
                <w:rFonts w:eastAsia="Verdana" w:cs="Verdana"/>
                <w:color w:val="000000" w:themeColor="text2"/>
              </w:rPr>
              <w:t>69.3%</w:t>
            </w:r>
          </w:p>
        </w:tc>
      </w:tr>
      <w:tr w:rsidR="009974B5" w:rsidRPr="00FF01E4" w14:paraId="761F413F" w14:textId="77777777" w:rsidTr="006E14EA">
        <w:trPr>
          <w:trHeight w:val="20"/>
        </w:trPr>
        <w:tc>
          <w:tcPr>
            <w:tcW w:w="0" w:type="auto"/>
            <w:tcMar>
              <w:top w:w="115" w:type="dxa"/>
              <w:left w:w="202" w:type="dxa"/>
              <w:right w:w="202" w:type="dxa"/>
            </w:tcMar>
            <w:vAlign w:val="center"/>
          </w:tcPr>
          <w:p w14:paraId="11163C1D" w14:textId="77777777" w:rsidR="00685D19" w:rsidRPr="00975077" w:rsidRDefault="00102D3B" w:rsidP="00102D3B">
            <w:pPr>
              <w:pStyle w:val="BodyText"/>
              <w:spacing w:before="0"/>
              <w:jc w:val="center"/>
              <w:rPr>
                <w:b/>
              </w:rPr>
            </w:pPr>
            <w:r w:rsidRPr="00975077">
              <w:rPr>
                <w:rStyle w:val="normaltextrun"/>
                <w:rFonts w:eastAsiaTheme="minorBidi"/>
                <w:b/>
              </w:rPr>
              <w:t>≥</w:t>
            </w:r>
            <w:r w:rsidRPr="00975077">
              <w:rPr>
                <w:b/>
              </w:rPr>
              <w:t>1</w:t>
            </w:r>
            <w:r>
              <w:rPr>
                <w:b/>
              </w:rPr>
              <w:t xml:space="preserve"> Doses </w:t>
            </w:r>
            <w:r>
              <w:rPr>
                <w:b/>
              </w:rPr>
              <w:br/>
              <w:t xml:space="preserve">of </w:t>
            </w:r>
            <w:r w:rsidR="5DDCF1D8" w:rsidRPr="00975077">
              <w:rPr>
                <w:b/>
              </w:rPr>
              <w:t>Varicella</w:t>
            </w:r>
          </w:p>
        </w:tc>
        <w:tc>
          <w:tcPr>
            <w:tcW w:w="0" w:type="auto"/>
            <w:tcMar>
              <w:top w:w="115" w:type="dxa"/>
              <w:left w:w="202" w:type="dxa"/>
              <w:right w:w="202" w:type="dxa"/>
            </w:tcMar>
            <w:vAlign w:val="center"/>
          </w:tcPr>
          <w:p w14:paraId="1D0CD098" w14:textId="77777777" w:rsidR="00685D19" w:rsidRPr="00FF01E4" w:rsidRDefault="5DDCF1D8" w:rsidP="00975077">
            <w:pPr>
              <w:pStyle w:val="BodyText"/>
              <w:spacing w:before="0"/>
              <w:jc w:val="center"/>
            </w:pPr>
            <w:r w:rsidRPr="004B4F5D">
              <w:rPr>
                <w:rStyle w:val="normaltextrun"/>
                <w:rFonts w:eastAsia="Verdana" w:cs="Verdana"/>
              </w:rPr>
              <w:t>90.6%</w:t>
            </w:r>
          </w:p>
        </w:tc>
        <w:tc>
          <w:tcPr>
            <w:tcW w:w="0" w:type="auto"/>
            <w:tcMar>
              <w:top w:w="115" w:type="dxa"/>
              <w:left w:w="202" w:type="dxa"/>
              <w:right w:w="202" w:type="dxa"/>
            </w:tcMar>
            <w:vAlign w:val="center"/>
          </w:tcPr>
          <w:p w14:paraId="0FAB2991" w14:textId="77777777" w:rsidR="00685D19" w:rsidRPr="00FF01E4" w:rsidRDefault="5DDCF1D8" w:rsidP="00975077">
            <w:pPr>
              <w:pStyle w:val="BodyText"/>
              <w:spacing w:before="0"/>
              <w:jc w:val="center"/>
            </w:pPr>
            <w:r w:rsidRPr="004B4F5D">
              <w:rPr>
                <w:rStyle w:val="normaltextrun"/>
                <w:rFonts w:eastAsia="Verdana" w:cs="Verdana"/>
              </w:rPr>
              <w:t>90.4%</w:t>
            </w:r>
          </w:p>
        </w:tc>
        <w:tc>
          <w:tcPr>
            <w:tcW w:w="0" w:type="auto"/>
            <w:tcMar>
              <w:top w:w="115" w:type="dxa"/>
              <w:left w:w="202" w:type="dxa"/>
              <w:right w:w="202" w:type="dxa"/>
            </w:tcMar>
            <w:vAlign w:val="center"/>
          </w:tcPr>
          <w:p w14:paraId="34666B0E" w14:textId="77777777" w:rsidR="00685D19" w:rsidRPr="004B4F5D" w:rsidRDefault="5DDCF1D8" w:rsidP="00975077">
            <w:pPr>
              <w:pStyle w:val="BodyText"/>
              <w:spacing w:before="0"/>
              <w:jc w:val="center"/>
              <w:rPr>
                <w:rStyle w:val="normaltextrun"/>
                <w:rFonts w:eastAsia="Verdana,Segoe UI" w:cs="Verdana,Segoe UI"/>
                <w:color w:val="000000" w:themeColor="text2"/>
                <w:sz w:val="22"/>
              </w:rPr>
            </w:pPr>
            <w:r w:rsidRPr="004B4F5D">
              <w:rPr>
                <w:rStyle w:val="normaltextrun"/>
                <w:rFonts w:eastAsia="Verdana" w:cs="Verdana"/>
                <w:color w:val="000000" w:themeColor="text2"/>
              </w:rPr>
              <w:t>95.6%</w:t>
            </w:r>
          </w:p>
        </w:tc>
        <w:tc>
          <w:tcPr>
            <w:tcW w:w="0" w:type="auto"/>
            <w:tcMar>
              <w:top w:w="115" w:type="dxa"/>
              <w:left w:w="202" w:type="dxa"/>
              <w:right w:w="202" w:type="dxa"/>
            </w:tcMar>
            <w:vAlign w:val="center"/>
          </w:tcPr>
          <w:p w14:paraId="5825C795" w14:textId="77777777" w:rsidR="00685D19" w:rsidRPr="00FF01E4" w:rsidRDefault="5DDCF1D8" w:rsidP="00975077">
            <w:pPr>
              <w:pStyle w:val="BodyText"/>
              <w:spacing w:before="0"/>
              <w:jc w:val="center"/>
            </w:pPr>
            <w:r w:rsidRPr="004B4F5D">
              <w:rPr>
                <w:rStyle w:val="normaltextrun"/>
                <w:rFonts w:eastAsia="Verdana" w:cs="Verdana"/>
                <w:color w:val="000000" w:themeColor="text2"/>
              </w:rPr>
              <w:t>92.5%</w:t>
            </w:r>
          </w:p>
        </w:tc>
        <w:tc>
          <w:tcPr>
            <w:tcW w:w="0" w:type="auto"/>
            <w:tcMar>
              <w:top w:w="115" w:type="dxa"/>
              <w:left w:w="202" w:type="dxa"/>
              <w:right w:w="202" w:type="dxa"/>
            </w:tcMar>
            <w:vAlign w:val="center"/>
          </w:tcPr>
          <w:p w14:paraId="3C66949E" w14:textId="77777777" w:rsidR="00685D19" w:rsidRPr="00FF01E4" w:rsidRDefault="5DDCF1D8" w:rsidP="00975077">
            <w:pPr>
              <w:pStyle w:val="BodyText"/>
              <w:spacing w:before="0"/>
              <w:jc w:val="center"/>
            </w:pPr>
            <w:r w:rsidRPr="004B4F5D">
              <w:rPr>
                <w:rStyle w:val="normaltextrun"/>
                <w:rFonts w:eastAsia="Verdana" w:cs="Verdana"/>
                <w:color w:val="000000" w:themeColor="text2"/>
              </w:rPr>
              <w:t>96.7%</w:t>
            </w:r>
          </w:p>
        </w:tc>
        <w:tc>
          <w:tcPr>
            <w:tcW w:w="0" w:type="auto"/>
            <w:tcMar>
              <w:top w:w="115" w:type="dxa"/>
              <w:left w:w="202" w:type="dxa"/>
              <w:right w:w="202" w:type="dxa"/>
            </w:tcMar>
            <w:vAlign w:val="center"/>
          </w:tcPr>
          <w:p w14:paraId="4660440B" w14:textId="77777777" w:rsidR="00685D19" w:rsidRPr="00FF01E4" w:rsidRDefault="5DDCF1D8" w:rsidP="00975077">
            <w:pPr>
              <w:pStyle w:val="BodyText"/>
              <w:spacing w:before="0"/>
              <w:jc w:val="center"/>
            </w:pPr>
            <w:r w:rsidRPr="004B4F5D">
              <w:rPr>
                <w:rStyle w:val="normaltextrun"/>
                <w:rFonts w:eastAsia="Verdana" w:cs="Verdana"/>
              </w:rPr>
              <w:t>92.5%</w:t>
            </w:r>
          </w:p>
        </w:tc>
      </w:tr>
    </w:tbl>
    <w:p w14:paraId="2816F344" w14:textId="77777777" w:rsidR="00436B6F" w:rsidRDefault="006D5794" w:rsidP="00580A66">
      <w:pPr>
        <w:pStyle w:val="BodyText"/>
      </w:pPr>
      <w:r w:rsidRPr="006D5794">
        <w:t xml:space="preserve">Texas coverage levels mirrored the national levels for 2016. The state continues to show progress toward meeting </w:t>
      </w:r>
      <w:r>
        <w:t>its goals</w:t>
      </w:r>
      <w:r w:rsidRPr="006D5794">
        <w:t xml:space="preserve"> for effective coverage for universally recommended vaccines among young children.</w:t>
      </w:r>
    </w:p>
    <w:p w14:paraId="137F4867" w14:textId="77777777" w:rsidR="00E47928" w:rsidRDefault="5DDCF1D8">
      <w:pPr>
        <w:pStyle w:val="Heading2"/>
      </w:pPr>
      <w:bookmarkStart w:id="13" w:name="_Toc522706953"/>
      <w:r>
        <w:t>National Immunization Survey-Teen</w:t>
      </w:r>
      <w:bookmarkEnd w:id="13"/>
    </w:p>
    <w:p w14:paraId="150962F3" w14:textId="26F16F6C" w:rsidR="00E47928" w:rsidRPr="00E47928" w:rsidRDefault="5DDCF1D8" w:rsidP="00E47928">
      <w:pPr>
        <w:pStyle w:val="BodyText"/>
      </w:pPr>
      <w:r>
        <w:t xml:space="preserve">The </w:t>
      </w:r>
      <w:r w:rsidR="001B164C">
        <w:t>NIS</w:t>
      </w:r>
      <w:r>
        <w:t>-Teen assesses coverage rates among 13-</w:t>
      </w:r>
      <w:r w:rsidR="003C3B7B">
        <w:t>17-year-</w:t>
      </w:r>
      <w:r>
        <w:t>olds for</w:t>
      </w:r>
      <w:r w:rsidR="00A41EEB">
        <w:t xml:space="preserve"> the following</w:t>
      </w:r>
      <w:r>
        <w:t xml:space="preserve"> immunizations regularly</w:t>
      </w:r>
      <w:r w:rsidR="00A41EEB">
        <w:t xml:space="preserve"> recommended during adolescence:</w:t>
      </w:r>
      <w:r>
        <w:t xml:space="preserve"> </w:t>
      </w:r>
      <w:r w:rsidR="00DB53A9">
        <w:t xml:space="preserve">human papillomavirus (HPV), meningococcal conjugate (MenACWY), and </w:t>
      </w:r>
      <w:r>
        <w:t>tetanus</w:t>
      </w:r>
      <w:r w:rsidR="00DB4CF5">
        <w:t xml:space="preserve">, </w:t>
      </w:r>
      <w:r>
        <w:t>diphtheria</w:t>
      </w:r>
      <w:r w:rsidR="00DB4CF5">
        <w:t xml:space="preserve">, and </w:t>
      </w:r>
      <w:r>
        <w:t xml:space="preserve">acellular pertussis (Tdap). </w:t>
      </w:r>
      <w:r w:rsidR="00A41EEB">
        <w:t xml:space="preserve">The 2016 survey measures </w:t>
      </w:r>
      <w:r w:rsidR="00DD388C">
        <w:t xml:space="preserve">coverage rates for </w:t>
      </w:r>
      <w:r w:rsidR="00A41EEB">
        <w:t>adolescents born between January 1998 and February 2004.</w:t>
      </w:r>
      <w:r w:rsidR="006D5794">
        <w:t xml:space="preserve"> </w:t>
      </w:r>
      <w:r w:rsidR="00A02B50">
        <w:t>Table 2 below</w:t>
      </w:r>
      <w:r>
        <w:t xml:space="preserve"> shows national and Texas coverage rates for adolescents receiving </w:t>
      </w:r>
      <w:r w:rsidR="00E97C65" w:rsidRPr="00E31293">
        <w:t>HPV</w:t>
      </w:r>
      <w:r w:rsidR="00E97C65">
        <w:t xml:space="preserve">, </w:t>
      </w:r>
      <w:r w:rsidR="00E97C65" w:rsidRPr="00E31293">
        <w:t>meningococcal</w:t>
      </w:r>
      <w:r w:rsidR="00E97C65">
        <w:t xml:space="preserve">, and </w:t>
      </w:r>
      <w:r>
        <w:t>Tdap</w:t>
      </w:r>
      <w:r w:rsidR="00E97C65">
        <w:t xml:space="preserve"> </w:t>
      </w:r>
      <w:r>
        <w:t>vaccines.</w:t>
      </w:r>
    </w:p>
    <w:p w14:paraId="2425BB5A" w14:textId="6621003E" w:rsidR="00C72748" w:rsidRDefault="00C72748" w:rsidP="00ED7841">
      <w:pPr>
        <w:pStyle w:val="Caption"/>
      </w:pPr>
      <w:r>
        <w:lastRenderedPageBreak/>
        <w:t xml:space="preserve">Table </w:t>
      </w:r>
      <w:r w:rsidR="008E3A1A">
        <w:rPr>
          <w:noProof/>
        </w:rPr>
        <w:fldChar w:fldCharType="begin"/>
      </w:r>
      <w:r w:rsidR="008E3A1A">
        <w:rPr>
          <w:noProof/>
        </w:rPr>
        <w:instrText xml:space="preserve"> SEQ Table \* ARABIC </w:instrText>
      </w:r>
      <w:r w:rsidR="008E3A1A">
        <w:rPr>
          <w:noProof/>
        </w:rPr>
        <w:fldChar w:fldCharType="separate"/>
      </w:r>
      <w:r w:rsidR="0057330E">
        <w:rPr>
          <w:noProof/>
        </w:rPr>
        <w:t>2</w:t>
      </w:r>
      <w:r w:rsidR="008E3A1A">
        <w:rPr>
          <w:noProof/>
        </w:rPr>
        <w:fldChar w:fldCharType="end"/>
      </w:r>
      <w:r>
        <w:t xml:space="preserve">. </w:t>
      </w:r>
      <w:r w:rsidRPr="00856144">
        <w:t xml:space="preserve">Vaccine Coverage Levels </w:t>
      </w:r>
      <w:r w:rsidR="009974B5">
        <w:t>A</w:t>
      </w:r>
      <w:r w:rsidRPr="00856144">
        <w:t xml:space="preserve">mong Texas Adolescents 13-17 Years of </w:t>
      </w:r>
      <w:r w:rsidR="00D97DF0">
        <w:t>A</w:t>
      </w:r>
      <w:r w:rsidRPr="00856144">
        <w:t>ge by Selected Vaccines, National Immunization Survey-Teen, 2016.</w:t>
      </w:r>
    </w:p>
    <w:tbl>
      <w:tblPr>
        <w:tblStyle w:val="HHSTableforTextData"/>
        <w:tblW w:w="9481" w:type="dxa"/>
        <w:tblLayout w:type="fixed"/>
        <w:tblLook w:val="04A0" w:firstRow="1" w:lastRow="0" w:firstColumn="1" w:lastColumn="0" w:noHBand="0" w:noVBand="1"/>
        <w:tblCaption w:val="Table 2. Vaccine Coverage Levels among Texas Adolescents 13-17 Years of age by Selected Vaccines"/>
        <w:tblDescription w:val="Table 2. Vaccine Coverage Levels among Texas Adolescents 13-17 Years of age by Selected Vaccines, National Immunization Survey-Teen, 2016."/>
      </w:tblPr>
      <w:tblGrid>
        <w:gridCol w:w="1957"/>
        <w:gridCol w:w="1150"/>
        <w:gridCol w:w="1150"/>
        <w:gridCol w:w="1417"/>
        <w:gridCol w:w="1269"/>
        <w:gridCol w:w="1332"/>
        <w:gridCol w:w="1206"/>
      </w:tblGrid>
      <w:tr w:rsidR="0032255E" w:rsidRPr="0032255E" w14:paraId="2BDF2262" w14:textId="77777777" w:rsidTr="006E14EA">
        <w:trPr>
          <w:cnfStyle w:val="100000000000" w:firstRow="1" w:lastRow="0" w:firstColumn="0" w:lastColumn="0" w:oddVBand="0" w:evenVBand="0" w:oddHBand="0" w:evenHBand="0" w:firstRowFirstColumn="0" w:firstRowLastColumn="0" w:lastRowFirstColumn="0" w:lastRowLastColumn="0"/>
          <w:trHeight w:val="457"/>
        </w:trPr>
        <w:tc>
          <w:tcPr>
            <w:tcW w:w="1957" w:type="dxa"/>
            <w:tcMar>
              <w:top w:w="115" w:type="dxa"/>
              <w:left w:w="202" w:type="dxa"/>
              <w:right w:w="202" w:type="dxa"/>
            </w:tcMar>
            <w:vAlign w:val="bottom"/>
          </w:tcPr>
          <w:p w14:paraId="56913294" w14:textId="77777777" w:rsidR="00417208" w:rsidRPr="0032255E" w:rsidRDefault="5DDCF1D8" w:rsidP="00975077">
            <w:pPr>
              <w:pStyle w:val="BodyText"/>
              <w:spacing w:before="0"/>
            </w:pPr>
            <w:r w:rsidRPr="0032255E">
              <w:t>Vaccine</w:t>
            </w:r>
          </w:p>
        </w:tc>
        <w:tc>
          <w:tcPr>
            <w:tcW w:w="1150" w:type="dxa"/>
            <w:tcMar>
              <w:top w:w="115" w:type="dxa"/>
              <w:left w:w="202" w:type="dxa"/>
              <w:right w:w="202" w:type="dxa"/>
            </w:tcMar>
            <w:vAlign w:val="bottom"/>
          </w:tcPr>
          <w:p w14:paraId="1B4E2B2A" w14:textId="77777777" w:rsidR="00417208" w:rsidRPr="0032255E" w:rsidRDefault="5DDCF1D8" w:rsidP="00975077">
            <w:pPr>
              <w:pStyle w:val="BodyText"/>
              <w:spacing w:before="0"/>
            </w:pPr>
            <w:r w:rsidRPr="00ED7841">
              <w:rPr>
                <w:rStyle w:val="normaltextrun"/>
                <w:rFonts w:eastAsia="Rockwell" w:cs="Rockwell"/>
              </w:rPr>
              <w:t>U.S.</w:t>
            </w:r>
          </w:p>
        </w:tc>
        <w:tc>
          <w:tcPr>
            <w:tcW w:w="1150" w:type="dxa"/>
            <w:tcMar>
              <w:top w:w="115" w:type="dxa"/>
              <w:left w:w="202" w:type="dxa"/>
              <w:right w:w="202" w:type="dxa"/>
            </w:tcMar>
            <w:vAlign w:val="bottom"/>
          </w:tcPr>
          <w:p w14:paraId="20DAA41B" w14:textId="77777777" w:rsidR="00417208" w:rsidRPr="0032255E" w:rsidRDefault="5DDCF1D8" w:rsidP="00975077">
            <w:pPr>
              <w:pStyle w:val="BodyText"/>
              <w:spacing w:before="0"/>
            </w:pPr>
            <w:r w:rsidRPr="00ED7841">
              <w:rPr>
                <w:rStyle w:val="normaltextrun"/>
                <w:rFonts w:eastAsia="Rockwell" w:cs="Rockwell"/>
              </w:rPr>
              <w:t>Texas</w:t>
            </w:r>
          </w:p>
        </w:tc>
        <w:tc>
          <w:tcPr>
            <w:tcW w:w="1417" w:type="dxa"/>
            <w:tcMar>
              <w:top w:w="115" w:type="dxa"/>
              <w:left w:w="202" w:type="dxa"/>
              <w:right w:w="202" w:type="dxa"/>
            </w:tcMar>
            <w:vAlign w:val="bottom"/>
          </w:tcPr>
          <w:p w14:paraId="7ED65BF9" w14:textId="77777777" w:rsidR="00417208" w:rsidRPr="00ED7841" w:rsidRDefault="5DDCF1D8" w:rsidP="00975077">
            <w:pPr>
              <w:pStyle w:val="BodyText"/>
              <w:spacing w:before="0"/>
              <w:rPr>
                <w:rStyle w:val="normaltextrun"/>
                <w:rFonts w:eastAsia="Rockwell,Segoe UI" w:cs="Rockwell,Segoe UI"/>
                <w:i/>
                <w:iCs/>
              </w:rPr>
            </w:pPr>
            <w:r w:rsidRPr="00ED7841">
              <w:rPr>
                <w:rStyle w:val="normaltextrun"/>
                <w:rFonts w:eastAsia="Rockwell" w:cs="Rockwell"/>
              </w:rPr>
              <w:t>City of Houston</w:t>
            </w:r>
          </w:p>
        </w:tc>
        <w:tc>
          <w:tcPr>
            <w:tcW w:w="1269" w:type="dxa"/>
            <w:tcMar>
              <w:top w:w="115" w:type="dxa"/>
              <w:left w:w="202" w:type="dxa"/>
              <w:right w:w="202" w:type="dxa"/>
            </w:tcMar>
            <w:vAlign w:val="bottom"/>
          </w:tcPr>
          <w:p w14:paraId="00935A32" w14:textId="77777777" w:rsidR="00417208" w:rsidRPr="00ED7841" w:rsidRDefault="5DDCF1D8" w:rsidP="00975077">
            <w:pPr>
              <w:pStyle w:val="BodyText"/>
              <w:spacing w:before="0"/>
              <w:rPr>
                <w:rStyle w:val="normaltextrun"/>
                <w:rFonts w:eastAsia="Rockwell,Segoe UI" w:cs="Rockwell,Segoe UI"/>
                <w:i/>
                <w:iCs/>
              </w:rPr>
            </w:pPr>
            <w:r w:rsidRPr="00ED7841">
              <w:rPr>
                <w:rStyle w:val="normaltextrun"/>
                <w:rFonts w:eastAsia="Rockwell" w:cs="Rockwell"/>
              </w:rPr>
              <w:t>Bexar County</w:t>
            </w:r>
          </w:p>
        </w:tc>
        <w:tc>
          <w:tcPr>
            <w:tcW w:w="1332" w:type="dxa"/>
            <w:tcMar>
              <w:top w:w="115" w:type="dxa"/>
              <w:left w:w="202" w:type="dxa"/>
              <w:right w:w="202" w:type="dxa"/>
            </w:tcMar>
            <w:vAlign w:val="bottom"/>
          </w:tcPr>
          <w:p w14:paraId="2FF7D1A9" w14:textId="77777777" w:rsidR="00417208" w:rsidRPr="00ED7841" w:rsidRDefault="5DDCF1D8" w:rsidP="00975077">
            <w:pPr>
              <w:pStyle w:val="BodyText"/>
              <w:spacing w:before="0"/>
              <w:rPr>
                <w:rStyle w:val="normaltextrun"/>
                <w:rFonts w:eastAsia="Rockwell,Segoe UI" w:cs="Rockwell,Segoe UI"/>
                <w:i/>
                <w:iCs/>
              </w:rPr>
            </w:pPr>
            <w:r w:rsidRPr="00ED7841">
              <w:rPr>
                <w:rStyle w:val="normaltextrun"/>
                <w:rFonts w:eastAsia="Rockwell" w:cs="Rockwell"/>
              </w:rPr>
              <w:t>El Paso County</w:t>
            </w:r>
          </w:p>
        </w:tc>
        <w:tc>
          <w:tcPr>
            <w:tcW w:w="1206" w:type="dxa"/>
            <w:tcMar>
              <w:top w:w="115" w:type="dxa"/>
              <w:left w:w="202" w:type="dxa"/>
              <w:right w:w="202" w:type="dxa"/>
            </w:tcMar>
            <w:vAlign w:val="bottom"/>
          </w:tcPr>
          <w:p w14:paraId="5132FB4A" w14:textId="77777777" w:rsidR="00417208" w:rsidRPr="00ED7841" w:rsidRDefault="5DDCF1D8" w:rsidP="00975077">
            <w:pPr>
              <w:pStyle w:val="BodyText"/>
              <w:spacing w:before="0"/>
              <w:rPr>
                <w:rStyle w:val="normaltextrun"/>
                <w:rFonts w:eastAsia="Rockwell,Segoe UI" w:cs="Rockwell,Segoe UI"/>
                <w:i/>
                <w:iCs/>
              </w:rPr>
            </w:pPr>
            <w:r w:rsidRPr="00ED7841">
              <w:rPr>
                <w:rStyle w:val="normaltextrun"/>
                <w:rFonts w:eastAsia="Rockwell" w:cs="Rockwell"/>
              </w:rPr>
              <w:t>Dallas County</w:t>
            </w:r>
          </w:p>
        </w:tc>
      </w:tr>
      <w:tr w:rsidR="00E97C65" w:rsidRPr="0032255E" w14:paraId="7CDF63EC" w14:textId="77777777" w:rsidTr="00FF37F2">
        <w:trPr>
          <w:trHeight w:val="457"/>
        </w:trPr>
        <w:tc>
          <w:tcPr>
            <w:tcW w:w="1957" w:type="dxa"/>
            <w:tcMar>
              <w:top w:w="115" w:type="dxa"/>
              <w:left w:w="202" w:type="dxa"/>
              <w:right w:w="202" w:type="dxa"/>
            </w:tcMar>
            <w:vAlign w:val="center"/>
          </w:tcPr>
          <w:p w14:paraId="2A36D954" w14:textId="77777777" w:rsidR="00E97C65" w:rsidRPr="0032255E" w:rsidRDefault="00E97C65" w:rsidP="006E14EA">
            <w:pPr>
              <w:pStyle w:val="BodyText"/>
              <w:spacing w:before="0"/>
              <w:jc w:val="center"/>
            </w:pPr>
            <w:r w:rsidRPr="00975077">
              <w:rPr>
                <w:rStyle w:val="normaltextrun"/>
                <w:rFonts w:eastAsiaTheme="minorBidi"/>
                <w:b/>
              </w:rPr>
              <w:t xml:space="preserve">≥1 </w:t>
            </w:r>
            <w:r>
              <w:rPr>
                <w:rStyle w:val="normaltextrun"/>
                <w:rFonts w:eastAsiaTheme="minorBidi"/>
                <w:b/>
              </w:rPr>
              <w:t>D</w:t>
            </w:r>
            <w:r w:rsidRPr="00975077">
              <w:rPr>
                <w:rStyle w:val="normaltextrun"/>
                <w:rFonts w:eastAsiaTheme="minorBidi"/>
                <w:b/>
              </w:rPr>
              <w:t xml:space="preserve">ose </w:t>
            </w:r>
            <w:r>
              <w:rPr>
                <w:rStyle w:val="normaltextrun"/>
                <w:rFonts w:eastAsiaTheme="minorBidi"/>
                <w:b/>
              </w:rPr>
              <w:br/>
            </w:r>
            <w:r w:rsidRPr="00975077">
              <w:rPr>
                <w:rStyle w:val="normaltextrun"/>
                <w:rFonts w:eastAsiaTheme="minorBidi"/>
                <w:b/>
              </w:rPr>
              <w:t>of HPV</w:t>
            </w:r>
          </w:p>
        </w:tc>
        <w:tc>
          <w:tcPr>
            <w:tcW w:w="1150" w:type="dxa"/>
            <w:tcMar>
              <w:top w:w="115" w:type="dxa"/>
              <w:left w:w="202" w:type="dxa"/>
              <w:right w:w="202" w:type="dxa"/>
            </w:tcMar>
            <w:vAlign w:val="center"/>
          </w:tcPr>
          <w:p w14:paraId="153C292F" w14:textId="77777777" w:rsidR="00E97C65" w:rsidRPr="00ED7841" w:rsidRDefault="00E97C65" w:rsidP="00CE66E1">
            <w:pPr>
              <w:pStyle w:val="BodyText"/>
              <w:spacing w:before="0"/>
              <w:jc w:val="center"/>
              <w:rPr>
                <w:rStyle w:val="normaltextrun"/>
                <w:rFonts w:eastAsia="Rockwell" w:cs="Rockwell"/>
                <w:sz w:val="22"/>
              </w:rPr>
            </w:pPr>
            <w:r w:rsidRPr="00ED7841">
              <w:rPr>
                <w:rStyle w:val="normaltextrun"/>
                <w:rFonts w:eastAsia="Verdana" w:cs="Verdana"/>
                <w:color w:val="000000" w:themeColor="text2"/>
              </w:rPr>
              <w:t>60.4%</w:t>
            </w:r>
          </w:p>
        </w:tc>
        <w:tc>
          <w:tcPr>
            <w:tcW w:w="1150" w:type="dxa"/>
            <w:tcMar>
              <w:top w:w="115" w:type="dxa"/>
              <w:left w:w="202" w:type="dxa"/>
              <w:right w:w="202" w:type="dxa"/>
            </w:tcMar>
            <w:vAlign w:val="center"/>
          </w:tcPr>
          <w:p w14:paraId="4004B65B" w14:textId="77777777" w:rsidR="00E97C65" w:rsidRPr="00ED7841" w:rsidRDefault="00E97C65" w:rsidP="00CE66E1">
            <w:pPr>
              <w:pStyle w:val="BodyText"/>
              <w:spacing w:before="0"/>
              <w:jc w:val="center"/>
              <w:rPr>
                <w:rStyle w:val="normaltextrun"/>
                <w:rFonts w:eastAsia="Rockwell" w:cs="Rockwell"/>
                <w:sz w:val="22"/>
              </w:rPr>
            </w:pPr>
            <w:r w:rsidRPr="00ED7841">
              <w:rPr>
                <w:rStyle w:val="normaltextrun"/>
                <w:rFonts w:eastAsia="Verdana" w:cs="Verdana"/>
                <w:color w:val="000000" w:themeColor="text2"/>
              </w:rPr>
              <w:t>49.3%</w:t>
            </w:r>
          </w:p>
        </w:tc>
        <w:tc>
          <w:tcPr>
            <w:tcW w:w="1417" w:type="dxa"/>
            <w:tcMar>
              <w:top w:w="115" w:type="dxa"/>
              <w:left w:w="202" w:type="dxa"/>
              <w:right w:w="202" w:type="dxa"/>
            </w:tcMar>
            <w:vAlign w:val="center"/>
          </w:tcPr>
          <w:p w14:paraId="0FD4A970" w14:textId="77777777" w:rsidR="00E97C65" w:rsidRPr="00ED7841" w:rsidRDefault="00E97C65" w:rsidP="00CE66E1">
            <w:pPr>
              <w:pStyle w:val="BodyText"/>
              <w:spacing w:before="0"/>
              <w:jc w:val="center"/>
              <w:rPr>
                <w:rStyle w:val="normaltextrun"/>
                <w:rFonts w:eastAsia="Rockwell" w:cs="Rockwell"/>
                <w:sz w:val="22"/>
              </w:rPr>
            </w:pPr>
            <w:r w:rsidRPr="00ED7841">
              <w:rPr>
                <w:rStyle w:val="normaltextrun"/>
                <w:rFonts w:eastAsia="Verdana" w:cs="Verdana"/>
                <w:color w:val="000000" w:themeColor="text2"/>
              </w:rPr>
              <w:t>62.6%</w:t>
            </w:r>
          </w:p>
        </w:tc>
        <w:tc>
          <w:tcPr>
            <w:tcW w:w="1269" w:type="dxa"/>
            <w:tcMar>
              <w:top w:w="115" w:type="dxa"/>
              <w:left w:w="202" w:type="dxa"/>
              <w:right w:w="202" w:type="dxa"/>
            </w:tcMar>
            <w:vAlign w:val="center"/>
          </w:tcPr>
          <w:p w14:paraId="6C74E223" w14:textId="77777777" w:rsidR="00E97C65" w:rsidRPr="00ED7841" w:rsidRDefault="00E97C65" w:rsidP="00CE66E1">
            <w:pPr>
              <w:pStyle w:val="BodyText"/>
              <w:spacing w:before="0"/>
              <w:jc w:val="center"/>
              <w:rPr>
                <w:rStyle w:val="normaltextrun"/>
                <w:rFonts w:eastAsia="Rockwell" w:cs="Rockwell"/>
                <w:sz w:val="22"/>
              </w:rPr>
            </w:pPr>
            <w:r w:rsidRPr="00ED7841">
              <w:rPr>
                <w:rStyle w:val="normaltextrun"/>
                <w:rFonts w:eastAsia="Verdana" w:cs="Verdana"/>
                <w:color w:val="000000" w:themeColor="text2"/>
              </w:rPr>
              <w:t>53.4%</w:t>
            </w:r>
          </w:p>
        </w:tc>
        <w:tc>
          <w:tcPr>
            <w:tcW w:w="1332" w:type="dxa"/>
            <w:tcMar>
              <w:top w:w="115" w:type="dxa"/>
              <w:left w:w="202" w:type="dxa"/>
              <w:right w:w="202" w:type="dxa"/>
            </w:tcMar>
            <w:vAlign w:val="center"/>
          </w:tcPr>
          <w:p w14:paraId="5B14383F" w14:textId="77777777" w:rsidR="00E97C65" w:rsidRPr="00ED7841" w:rsidRDefault="00E97C65" w:rsidP="00CE66E1">
            <w:pPr>
              <w:pStyle w:val="BodyText"/>
              <w:spacing w:before="0"/>
              <w:jc w:val="center"/>
              <w:rPr>
                <w:rStyle w:val="normaltextrun"/>
                <w:rFonts w:eastAsia="Rockwell" w:cs="Rockwell"/>
                <w:sz w:val="22"/>
              </w:rPr>
            </w:pPr>
            <w:r w:rsidRPr="00ED7841">
              <w:rPr>
                <w:rStyle w:val="normaltextrun"/>
                <w:rFonts w:eastAsia="Verdana" w:cs="Verdana"/>
                <w:color w:val="000000" w:themeColor="text2"/>
              </w:rPr>
              <w:t>79.8%</w:t>
            </w:r>
          </w:p>
        </w:tc>
        <w:tc>
          <w:tcPr>
            <w:tcW w:w="1206" w:type="dxa"/>
            <w:tcMar>
              <w:top w:w="115" w:type="dxa"/>
              <w:left w:w="202" w:type="dxa"/>
              <w:right w:w="202" w:type="dxa"/>
            </w:tcMar>
            <w:vAlign w:val="center"/>
          </w:tcPr>
          <w:p w14:paraId="31BEB981" w14:textId="77777777" w:rsidR="00E97C65" w:rsidRPr="00ED7841" w:rsidRDefault="00E97C65" w:rsidP="00CE66E1">
            <w:pPr>
              <w:pStyle w:val="BodyText"/>
              <w:spacing w:before="0"/>
              <w:jc w:val="center"/>
              <w:rPr>
                <w:rStyle w:val="normaltextrun"/>
                <w:rFonts w:eastAsia="Rockwell" w:cs="Rockwell"/>
                <w:sz w:val="22"/>
              </w:rPr>
            </w:pPr>
            <w:r w:rsidRPr="00ED7841">
              <w:rPr>
                <w:rStyle w:val="normaltextrun"/>
                <w:rFonts w:eastAsia="Verdana" w:cs="Verdana"/>
                <w:color w:val="000000" w:themeColor="text2"/>
              </w:rPr>
              <w:t>45.7%</w:t>
            </w:r>
          </w:p>
        </w:tc>
      </w:tr>
      <w:tr w:rsidR="00E97C65" w:rsidRPr="0032255E" w14:paraId="2FB41A61" w14:textId="77777777" w:rsidTr="00FF37F2">
        <w:trPr>
          <w:cnfStyle w:val="000000010000" w:firstRow="0" w:lastRow="0" w:firstColumn="0" w:lastColumn="0" w:oddVBand="0" w:evenVBand="0" w:oddHBand="0" w:evenHBand="1" w:firstRowFirstColumn="0" w:firstRowLastColumn="0" w:lastRowFirstColumn="0" w:lastRowLastColumn="0"/>
          <w:trHeight w:val="457"/>
        </w:trPr>
        <w:tc>
          <w:tcPr>
            <w:tcW w:w="1957" w:type="dxa"/>
            <w:tcMar>
              <w:top w:w="115" w:type="dxa"/>
              <w:left w:w="202" w:type="dxa"/>
              <w:right w:w="202" w:type="dxa"/>
            </w:tcMar>
            <w:vAlign w:val="center"/>
          </w:tcPr>
          <w:p w14:paraId="210961AD" w14:textId="77777777" w:rsidR="00E97C65" w:rsidRPr="00975077" w:rsidRDefault="00E97C65" w:rsidP="00E97C65">
            <w:pPr>
              <w:pStyle w:val="BodyText"/>
              <w:spacing w:before="0"/>
              <w:jc w:val="center"/>
              <w:rPr>
                <w:rStyle w:val="normaltextrun"/>
                <w:rFonts w:eastAsiaTheme="minorBidi"/>
                <w:b/>
              </w:rPr>
            </w:pPr>
            <w:r w:rsidRPr="00975077">
              <w:rPr>
                <w:rStyle w:val="normaltextrun"/>
                <w:rFonts w:eastAsiaTheme="minorBidi"/>
                <w:b/>
              </w:rPr>
              <w:t>HPV Up-</w:t>
            </w:r>
            <w:r>
              <w:rPr>
                <w:rStyle w:val="normaltextrun"/>
                <w:rFonts w:eastAsiaTheme="minorBidi"/>
                <w:b/>
              </w:rPr>
              <w:br/>
            </w:r>
            <w:r w:rsidRPr="00975077">
              <w:rPr>
                <w:rStyle w:val="normaltextrun"/>
                <w:rFonts w:eastAsiaTheme="minorBidi"/>
                <w:b/>
              </w:rPr>
              <w:t xml:space="preserve">to-Date </w:t>
            </w:r>
          </w:p>
        </w:tc>
        <w:tc>
          <w:tcPr>
            <w:tcW w:w="1150" w:type="dxa"/>
            <w:tcMar>
              <w:top w:w="115" w:type="dxa"/>
              <w:left w:w="202" w:type="dxa"/>
              <w:right w:w="202" w:type="dxa"/>
            </w:tcMar>
            <w:vAlign w:val="center"/>
          </w:tcPr>
          <w:p w14:paraId="7FF4F6F2"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43.4%</w:t>
            </w:r>
          </w:p>
        </w:tc>
        <w:tc>
          <w:tcPr>
            <w:tcW w:w="1150" w:type="dxa"/>
            <w:tcMar>
              <w:top w:w="115" w:type="dxa"/>
              <w:left w:w="202" w:type="dxa"/>
              <w:right w:w="202" w:type="dxa"/>
            </w:tcMar>
            <w:vAlign w:val="center"/>
          </w:tcPr>
          <w:p w14:paraId="73B29E98"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32.9%</w:t>
            </w:r>
          </w:p>
        </w:tc>
        <w:tc>
          <w:tcPr>
            <w:tcW w:w="1417" w:type="dxa"/>
            <w:tcMar>
              <w:top w:w="115" w:type="dxa"/>
              <w:left w:w="202" w:type="dxa"/>
              <w:right w:w="202" w:type="dxa"/>
            </w:tcMar>
            <w:vAlign w:val="center"/>
          </w:tcPr>
          <w:p w14:paraId="267B10A7"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46.4%</w:t>
            </w:r>
          </w:p>
        </w:tc>
        <w:tc>
          <w:tcPr>
            <w:tcW w:w="1269" w:type="dxa"/>
            <w:tcMar>
              <w:top w:w="115" w:type="dxa"/>
              <w:left w:w="202" w:type="dxa"/>
              <w:right w:w="202" w:type="dxa"/>
            </w:tcMar>
            <w:vAlign w:val="center"/>
          </w:tcPr>
          <w:p w14:paraId="5A3A8BA4"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39.2%</w:t>
            </w:r>
          </w:p>
        </w:tc>
        <w:tc>
          <w:tcPr>
            <w:tcW w:w="1332" w:type="dxa"/>
            <w:tcMar>
              <w:top w:w="115" w:type="dxa"/>
              <w:left w:w="202" w:type="dxa"/>
              <w:right w:w="202" w:type="dxa"/>
            </w:tcMar>
            <w:vAlign w:val="center"/>
          </w:tcPr>
          <w:p w14:paraId="130BFC88"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66.0%</w:t>
            </w:r>
          </w:p>
        </w:tc>
        <w:tc>
          <w:tcPr>
            <w:tcW w:w="1206" w:type="dxa"/>
            <w:tcMar>
              <w:top w:w="115" w:type="dxa"/>
              <w:left w:w="202" w:type="dxa"/>
              <w:right w:w="202" w:type="dxa"/>
            </w:tcMar>
            <w:vAlign w:val="center"/>
          </w:tcPr>
          <w:p w14:paraId="4DE39ABD"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23.9%</w:t>
            </w:r>
          </w:p>
        </w:tc>
      </w:tr>
      <w:tr w:rsidR="00E97C65" w:rsidRPr="0032255E" w14:paraId="469E53C9" w14:textId="77777777" w:rsidTr="00FF37F2">
        <w:trPr>
          <w:trHeight w:val="457"/>
        </w:trPr>
        <w:tc>
          <w:tcPr>
            <w:tcW w:w="1957" w:type="dxa"/>
            <w:tcMar>
              <w:top w:w="115" w:type="dxa"/>
              <w:left w:w="202" w:type="dxa"/>
              <w:right w:w="202" w:type="dxa"/>
            </w:tcMar>
            <w:vAlign w:val="center"/>
          </w:tcPr>
          <w:p w14:paraId="2B64CD49" w14:textId="77777777" w:rsidR="00E97C65" w:rsidRPr="00975077" w:rsidRDefault="00E97C65" w:rsidP="00E97C65">
            <w:pPr>
              <w:pStyle w:val="BodyText"/>
              <w:spacing w:before="0"/>
              <w:jc w:val="center"/>
              <w:rPr>
                <w:rStyle w:val="normaltextrun"/>
                <w:rFonts w:eastAsiaTheme="minorBidi"/>
                <w:b/>
              </w:rPr>
            </w:pPr>
            <w:r w:rsidRPr="00975077">
              <w:rPr>
                <w:rStyle w:val="normaltextrun"/>
                <w:rFonts w:eastAsiaTheme="minorBidi"/>
                <w:b/>
              </w:rPr>
              <w:t xml:space="preserve">≥1 </w:t>
            </w:r>
            <w:r>
              <w:rPr>
                <w:rStyle w:val="normaltextrun"/>
                <w:rFonts w:eastAsiaTheme="minorBidi"/>
                <w:b/>
              </w:rPr>
              <w:t>D</w:t>
            </w:r>
            <w:r w:rsidRPr="00975077">
              <w:rPr>
                <w:rStyle w:val="normaltextrun"/>
                <w:rFonts w:eastAsiaTheme="minorBidi"/>
                <w:b/>
              </w:rPr>
              <w:t xml:space="preserve">ose of HPV, </w:t>
            </w:r>
            <w:r>
              <w:rPr>
                <w:rStyle w:val="normaltextrun"/>
                <w:rFonts w:eastAsiaTheme="minorBidi"/>
                <w:b/>
              </w:rPr>
              <w:t>F</w:t>
            </w:r>
            <w:r w:rsidRPr="00975077">
              <w:rPr>
                <w:rStyle w:val="normaltextrun"/>
                <w:rFonts w:eastAsiaTheme="minorBidi"/>
                <w:b/>
              </w:rPr>
              <w:t>emales</w:t>
            </w:r>
          </w:p>
        </w:tc>
        <w:tc>
          <w:tcPr>
            <w:tcW w:w="1150" w:type="dxa"/>
            <w:tcMar>
              <w:top w:w="115" w:type="dxa"/>
              <w:left w:w="202" w:type="dxa"/>
              <w:right w:w="202" w:type="dxa"/>
            </w:tcMar>
            <w:vAlign w:val="center"/>
          </w:tcPr>
          <w:p w14:paraId="55243F63"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65.1%</w:t>
            </w:r>
          </w:p>
        </w:tc>
        <w:tc>
          <w:tcPr>
            <w:tcW w:w="1150" w:type="dxa"/>
            <w:tcMar>
              <w:top w:w="115" w:type="dxa"/>
              <w:left w:w="202" w:type="dxa"/>
              <w:right w:w="202" w:type="dxa"/>
            </w:tcMar>
            <w:vAlign w:val="center"/>
          </w:tcPr>
          <w:p w14:paraId="6AA098F2"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54.5%</w:t>
            </w:r>
          </w:p>
        </w:tc>
        <w:tc>
          <w:tcPr>
            <w:tcW w:w="1417" w:type="dxa"/>
            <w:tcMar>
              <w:top w:w="115" w:type="dxa"/>
              <w:left w:w="202" w:type="dxa"/>
              <w:right w:w="202" w:type="dxa"/>
            </w:tcMar>
            <w:vAlign w:val="center"/>
          </w:tcPr>
          <w:p w14:paraId="2E186FE8"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59.4%</w:t>
            </w:r>
          </w:p>
        </w:tc>
        <w:tc>
          <w:tcPr>
            <w:tcW w:w="1269" w:type="dxa"/>
            <w:tcMar>
              <w:top w:w="115" w:type="dxa"/>
              <w:left w:w="202" w:type="dxa"/>
              <w:right w:w="202" w:type="dxa"/>
            </w:tcMar>
            <w:vAlign w:val="center"/>
          </w:tcPr>
          <w:p w14:paraId="7A89D1A6"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58.3%</w:t>
            </w:r>
          </w:p>
        </w:tc>
        <w:tc>
          <w:tcPr>
            <w:tcW w:w="1332" w:type="dxa"/>
            <w:tcMar>
              <w:top w:w="115" w:type="dxa"/>
              <w:left w:w="202" w:type="dxa"/>
              <w:right w:w="202" w:type="dxa"/>
            </w:tcMar>
            <w:vAlign w:val="center"/>
          </w:tcPr>
          <w:p w14:paraId="143CBA41"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78.4%</w:t>
            </w:r>
          </w:p>
        </w:tc>
        <w:tc>
          <w:tcPr>
            <w:tcW w:w="1206" w:type="dxa"/>
            <w:tcMar>
              <w:top w:w="115" w:type="dxa"/>
              <w:left w:w="202" w:type="dxa"/>
              <w:right w:w="202" w:type="dxa"/>
            </w:tcMar>
            <w:vAlign w:val="center"/>
          </w:tcPr>
          <w:p w14:paraId="78C20748"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48.8%</w:t>
            </w:r>
          </w:p>
        </w:tc>
      </w:tr>
      <w:tr w:rsidR="00E97C65" w:rsidRPr="0032255E" w14:paraId="45671445" w14:textId="77777777" w:rsidTr="00FF37F2">
        <w:trPr>
          <w:cnfStyle w:val="000000010000" w:firstRow="0" w:lastRow="0" w:firstColumn="0" w:lastColumn="0" w:oddVBand="0" w:evenVBand="0" w:oddHBand="0" w:evenHBand="1" w:firstRowFirstColumn="0" w:firstRowLastColumn="0" w:lastRowFirstColumn="0" w:lastRowLastColumn="0"/>
          <w:trHeight w:val="457"/>
        </w:trPr>
        <w:tc>
          <w:tcPr>
            <w:tcW w:w="1957" w:type="dxa"/>
            <w:tcMar>
              <w:top w:w="115" w:type="dxa"/>
              <w:left w:w="202" w:type="dxa"/>
              <w:right w:w="202" w:type="dxa"/>
            </w:tcMar>
            <w:vAlign w:val="center"/>
          </w:tcPr>
          <w:p w14:paraId="43011EF6" w14:textId="77777777" w:rsidR="00E97C65" w:rsidRPr="00975077" w:rsidRDefault="00E97C65" w:rsidP="00E97C65">
            <w:pPr>
              <w:pStyle w:val="BodyText"/>
              <w:spacing w:before="0"/>
              <w:jc w:val="center"/>
              <w:rPr>
                <w:rStyle w:val="normaltextrun"/>
                <w:rFonts w:eastAsiaTheme="minorBidi"/>
                <w:b/>
              </w:rPr>
            </w:pPr>
            <w:r w:rsidRPr="00975077">
              <w:rPr>
                <w:rStyle w:val="normaltextrun"/>
                <w:rFonts w:eastAsiaTheme="minorBidi"/>
                <w:b/>
              </w:rPr>
              <w:t>HPV </w:t>
            </w:r>
            <w:r w:rsidRPr="00DA1023">
              <w:rPr>
                <w:rStyle w:val="normaltextrun"/>
                <w:rFonts w:eastAsiaTheme="minorBidi"/>
                <w:b/>
              </w:rPr>
              <w:t>Up-</w:t>
            </w:r>
            <w:r>
              <w:rPr>
                <w:rStyle w:val="normaltextrun"/>
                <w:rFonts w:eastAsiaTheme="minorBidi"/>
                <w:b/>
              </w:rPr>
              <w:br/>
            </w:r>
            <w:r w:rsidRPr="00DA1023">
              <w:rPr>
                <w:rStyle w:val="normaltextrun"/>
                <w:rFonts w:eastAsiaTheme="minorBidi"/>
                <w:b/>
              </w:rPr>
              <w:t>to-Date</w:t>
            </w:r>
            <w:r w:rsidRPr="00975077">
              <w:rPr>
                <w:rStyle w:val="normaltextrun"/>
                <w:rFonts w:eastAsiaTheme="minorBidi"/>
                <w:b/>
              </w:rPr>
              <w:t xml:space="preserve">, </w:t>
            </w:r>
            <w:r>
              <w:rPr>
                <w:rStyle w:val="normaltextrun"/>
                <w:rFonts w:eastAsiaTheme="minorBidi"/>
                <w:b/>
              </w:rPr>
              <w:t>F</w:t>
            </w:r>
            <w:r w:rsidRPr="00975077">
              <w:rPr>
                <w:rStyle w:val="normaltextrun"/>
                <w:rFonts w:eastAsiaTheme="minorBidi"/>
                <w:b/>
              </w:rPr>
              <w:t>emales</w:t>
            </w:r>
          </w:p>
        </w:tc>
        <w:tc>
          <w:tcPr>
            <w:tcW w:w="1150" w:type="dxa"/>
            <w:tcMar>
              <w:top w:w="115" w:type="dxa"/>
              <w:left w:w="202" w:type="dxa"/>
              <w:right w:w="202" w:type="dxa"/>
            </w:tcMar>
            <w:vAlign w:val="center"/>
          </w:tcPr>
          <w:p w14:paraId="1D0D8E26"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49.5%</w:t>
            </w:r>
          </w:p>
        </w:tc>
        <w:tc>
          <w:tcPr>
            <w:tcW w:w="1150" w:type="dxa"/>
            <w:tcMar>
              <w:top w:w="115" w:type="dxa"/>
              <w:left w:w="202" w:type="dxa"/>
              <w:right w:w="202" w:type="dxa"/>
            </w:tcMar>
            <w:vAlign w:val="center"/>
          </w:tcPr>
          <w:p w14:paraId="2C1305EC"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39.7%</w:t>
            </w:r>
          </w:p>
        </w:tc>
        <w:tc>
          <w:tcPr>
            <w:tcW w:w="1417" w:type="dxa"/>
            <w:tcMar>
              <w:top w:w="115" w:type="dxa"/>
              <w:left w:w="202" w:type="dxa"/>
              <w:right w:w="202" w:type="dxa"/>
            </w:tcMar>
            <w:vAlign w:val="center"/>
          </w:tcPr>
          <w:p w14:paraId="70D6F876"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44.2%</w:t>
            </w:r>
          </w:p>
        </w:tc>
        <w:tc>
          <w:tcPr>
            <w:tcW w:w="1269" w:type="dxa"/>
            <w:tcMar>
              <w:top w:w="115" w:type="dxa"/>
              <w:left w:w="202" w:type="dxa"/>
              <w:right w:w="202" w:type="dxa"/>
            </w:tcMar>
            <w:vAlign w:val="center"/>
          </w:tcPr>
          <w:p w14:paraId="0206BCE2"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45.2%</w:t>
            </w:r>
          </w:p>
        </w:tc>
        <w:tc>
          <w:tcPr>
            <w:tcW w:w="1332" w:type="dxa"/>
            <w:tcMar>
              <w:top w:w="115" w:type="dxa"/>
              <w:left w:w="202" w:type="dxa"/>
              <w:right w:w="202" w:type="dxa"/>
            </w:tcMar>
            <w:vAlign w:val="center"/>
          </w:tcPr>
          <w:p w14:paraId="5788E0DF"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69.0%</w:t>
            </w:r>
          </w:p>
        </w:tc>
        <w:tc>
          <w:tcPr>
            <w:tcW w:w="1206" w:type="dxa"/>
            <w:tcMar>
              <w:top w:w="115" w:type="dxa"/>
              <w:left w:w="202" w:type="dxa"/>
              <w:right w:w="202" w:type="dxa"/>
            </w:tcMar>
            <w:vAlign w:val="center"/>
          </w:tcPr>
          <w:p w14:paraId="3927C2C0"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24.3%</w:t>
            </w:r>
          </w:p>
        </w:tc>
      </w:tr>
      <w:tr w:rsidR="00E97C65" w:rsidRPr="0032255E" w14:paraId="7E3A487B" w14:textId="77777777" w:rsidTr="00FF37F2">
        <w:trPr>
          <w:trHeight w:val="457"/>
        </w:trPr>
        <w:tc>
          <w:tcPr>
            <w:tcW w:w="1957" w:type="dxa"/>
            <w:tcMar>
              <w:top w:w="115" w:type="dxa"/>
              <w:left w:w="202" w:type="dxa"/>
              <w:right w:w="202" w:type="dxa"/>
            </w:tcMar>
            <w:vAlign w:val="center"/>
          </w:tcPr>
          <w:p w14:paraId="1E8170B6" w14:textId="77777777" w:rsidR="00E97C65" w:rsidRPr="00975077" w:rsidRDefault="00E97C65" w:rsidP="00E97C65">
            <w:pPr>
              <w:pStyle w:val="BodyText"/>
              <w:spacing w:before="0"/>
              <w:jc w:val="center"/>
              <w:rPr>
                <w:rStyle w:val="normaltextrun"/>
                <w:rFonts w:eastAsiaTheme="minorBidi"/>
                <w:b/>
              </w:rPr>
            </w:pPr>
            <w:r w:rsidRPr="00975077">
              <w:rPr>
                <w:rStyle w:val="normaltextrun"/>
                <w:rFonts w:eastAsiaTheme="minorBidi"/>
                <w:b/>
              </w:rPr>
              <w:t xml:space="preserve">≥1 </w:t>
            </w:r>
            <w:r>
              <w:rPr>
                <w:rStyle w:val="normaltextrun"/>
                <w:rFonts w:eastAsiaTheme="minorBidi"/>
                <w:b/>
              </w:rPr>
              <w:t>D</w:t>
            </w:r>
            <w:r w:rsidRPr="00975077">
              <w:rPr>
                <w:rStyle w:val="normaltextrun"/>
                <w:rFonts w:eastAsiaTheme="minorBidi"/>
                <w:b/>
              </w:rPr>
              <w:t xml:space="preserve">ose of HPV, </w:t>
            </w:r>
            <w:r>
              <w:rPr>
                <w:rStyle w:val="normaltextrun"/>
                <w:rFonts w:eastAsiaTheme="minorBidi"/>
                <w:b/>
              </w:rPr>
              <w:t>M</w:t>
            </w:r>
            <w:r w:rsidRPr="00975077">
              <w:rPr>
                <w:rStyle w:val="normaltextrun"/>
                <w:rFonts w:eastAsiaTheme="minorBidi"/>
                <w:b/>
              </w:rPr>
              <w:t>ales</w:t>
            </w:r>
          </w:p>
        </w:tc>
        <w:tc>
          <w:tcPr>
            <w:tcW w:w="1150" w:type="dxa"/>
            <w:tcMar>
              <w:top w:w="115" w:type="dxa"/>
              <w:left w:w="202" w:type="dxa"/>
              <w:right w:w="202" w:type="dxa"/>
            </w:tcMar>
            <w:vAlign w:val="center"/>
          </w:tcPr>
          <w:p w14:paraId="66CDC131"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56.0%</w:t>
            </w:r>
          </w:p>
        </w:tc>
        <w:tc>
          <w:tcPr>
            <w:tcW w:w="1150" w:type="dxa"/>
            <w:tcMar>
              <w:top w:w="115" w:type="dxa"/>
              <w:left w:w="202" w:type="dxa"/>
              <w:right w:w="202" w:type="dxa"/>
            </w:tcMar>
            <w:vAlign w:val="center"/>
          </w:tcPr>
          <w:p w14:paraId="7E797526"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44.3%</w:t>
            </w:r>
          </w:p>
        </w:tc>
        <w:tc>
          <w:tcPr>
            <w:tcW w:w="1417" w:type="dxa"/>
            <w:tcMar>
              <w:top w:w="115" w:type="dxa"/>
              <w:left w:w="202" w:type="dxa"/>
              <w:right w:w="202" w:type="dxa"/>
            </w:tcMar>
            <w:vAlign w:val="center"/>
          </w:tcPr>
          <w:p w14:paraId="149038C8"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65.9%</w:t>
            </w:r>
          </w:p>
        </w:tc>
        <w:tc>
          <w:tcPr>
            <w:tcW w:w="1269" w:type="dxa"/>
            <w:tcMar>
              <w:top w:w="115" w:type="dxa"/>
              <w:left w:w="202" w:type="dxa"/>
              <w:right w:w="202" w:type="dxa"/>
            </w:tcMar>
            <w:vAlign w:val="center"/>
          </w:tcPr>
          <w:p w14:paraId="7BDEFB70"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48.5%</w:t>
            </w:r>
          </w:p>
        </w:tc>
        <w:tc>
          <w:tcPr>
            <w:tcW w:w="1332" w:type="dxa"/>
            <w:tcMar>
              <w:top w:w="115" w:type="dxa"/>
              <w:left w:w="202" w:type="dxa"/>
              <w:right w:w="202" w:type="dxa"/>
            </w:tcMar>
            <w:vAlign w:val="center"/>
          </w:tcPr>
          <w:p w14:paraId="3460ED07"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81.1%</w:t>
            </w:r>
          </w:p>
        </w:tc>
        <w:tc>
          <w:tcPr>
            <w:tcW w:w="1206" w:type="dxa"/>
            <w:tcMar>
              <w:top w:w="115" w:type="dxa"/>
              <w:left w:w="202" w:type="dxa"/>
              <w:right w:w="202" w:type="dxa"/>
            </w:tcMar>
            <w:vAlign w:val="center"/>
          </w:tcPr>
          <w:p w14:paraId="0571EA68"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42.7%</w:t>
            </w:r>
          </w:p>
        </w:tc>
      </w:tr>
      <w:tr w:rsidR="00E97C65" w:rsidRPr="0032255E" w14:paraId="211F6283" w14:textId="77777777" w:rsidTr="00FF37F2">
        <w:trPr>
          <w:cnfStyle w:val="000000010000" w:firstRow="0" w:lastRow="0" w:firstColumn="0" w:lastColumn="0" w:oddVBand="0" w:evenVBand="0" w:oddHBand="0" w:evenHBand="1" w:firstRowFirstColumn="0" w:firstRowLastColumn="0" w:lastRowFirstColumn="0" w:lastRowLastColumn="0"/>
          <w:trHeight w:val="457"/>
        </w:trPr>
        <w:tc>
          <w:tcPr>
            <w:tcW w:w="1957" w:type="dxa"/>
            <w:tcMar>
              <w:top w:w="115" w:type="dxa"/>
              <w:left w:w="202" w:type="dxa"/>
              <w:right w:w="202" w:type="dxa"/>
            </w:tcMar>
            <w:vAlign w:val="center"/>
          </w:tcPr>
          <w:p w14:paraId="1CFB9970" w14:textId="77777777" w:rsidR="00E97C65" w:rsidRPr="00975077" w:rsidRDefault="00E97C65" w:rsidP="00E97C65">
            <w:pPr>
              <w:pStyle w:val="BodyText"/>
              <w:spacing w:before="0"/>
              <w:jc w:val="center"/>
              <w:rPr>
                <w:rStyle w:val="normaltextrun"/>
                <w:rFonts w:eastAsiaTheme="minorBidi"/>
                <w:b/>
              </w:rPr>
            </w:pPr>
            <w:r w:rsidRPr="00975077">
              <w:rPr>
                <w:rStyle w:val="normaltextrun"/>
                <w:rFonts w:eastAsiaTheme="minorBidi"/>
                <w:b/>
              </w:rPr>
              <w:t>HPV </w:t>
            </w:r>
            <w:r w:rsidRPr="00DA1023">
              <w:rPr>
                <w:rStyle w:val="normaltextrun"/>
                <w:rFonts w:eastAsiaTheme="minorBidi"/>
                <w:b/>
              </w:rPr>
              <w:t>Up-to-Date</w:t>
            </w:r>
            <w:r w:rsidRPr="00975077">
              <w:rPr>
                <w:rStyle w:val="normaltextrun"/>
                <w:rFonts w:eastAsiaTheme="minorBidi"/>
                <w:b/>
              </w:rPr>
              <w:t xml:space="preserve">, </w:t>
            </w:r>
            <w:r>
              <w:rPr>
                <w:rStyle w:val="normaltextrun"/>
                <w:rFonts w:eastAsiaTheme="minorBidi"/>
                <w:b/>
              </w:rPr>
              <w:t>M</w:t>
            </w:r>
            <w:r w:rsidRPr="00975077">
              <w:rPr>
                <w:rStyle w:val="normaltextrun"/>
                <w:rFonts w:eastAsiaTheme="minorBidi"/>
                <w:b/>
              </w:rPr>
              <w:t>ales</w:t>
            </w:r>
          </w:p>
        </w:tc>
        <w:tc>
          <w:tcPr>
            <w:tcW w:w="1150" w:type="dxa"/>
            <w:tcMar>
              <w:top w:w="115" w:type="dxa"/>
              <w:left w:w="202" w:type="dxa"/>
              <w:right w:w="202" w:type="dxa"/>
            </w:tcMar>
            <w:vAlign w:val="center"/>
          </w:tcPr>
          <w:p w14:paraId="7B3A0FD0"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37.5%</w:t>
            </w:r>
          </w:p>
        </w:tc>
        <w:tc>
          <w:tcPr>
            <w:tcW w:w="1150" w:type="dxa"/>
            <w:tcMar>
              <w:top w:w="115" w:type="dxa"/>
              <w:left w:w="202" w:type="dxa"/>
              <w:right w:w="202" w:type="dxa"/>
            </w:tcMar>
            <w:vAlign w:val="center"/>
          </w:tcPr>
          <w:p w14:paraId="7D7D8C41"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26.5%</w:t>
            </w:r>
          </w:p>
        </w:tc>
        <w:tc>
          <w:tcPr>
            <w:tcW w:w="1417" w:type="dxa"/>
            <w:tcMar>
              <w:top w:w="115" w:type="dxa"/>
              <w:left w:w="202" w:type="dxa"/>
              <w:right w:w="202" w:type="dxa"/>
            </w:tcMar>
            <w:vAlign w:val="center"/>
          </w:tcPr>
          <w:p w14:paraId="547A96D1"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48.6%</w:t>
            </w:r>
          </w:p>
        </w:tc>
        <w:tc>
          <w:tcPr>
            <w:tcW w:w="1269" w:type="dxa"/>
            <w:tcMar>
              <w:top w:w="115" w:type="dxa"/>
              <w:left w:w="202" w:type="dxa"/>
              <w:right w:w="202" w:type="dxa"/>
            </w:tcMar>
            <w:vAlign w:val="center"/>
          </w:tcPr>
          <w:p w14:paraId="7DF8BDD8"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33.3%</w:t>
            </w:r>
          </w:p>
        </w:tc>
        <w:tc>
          <w:tcPr>
            <w:tcW w:w="1332" w:type="dxa"/>
            <w:tcMar>
              <w:top w:w="115" w:type="dxa"/>
              <w:left w:w="202" w:type="dxa"/>
              <w:right w:w="202" w:type="dxa"/>
            </w:tcMar>
            <w:vAlign w:val="center"/>
          </w:tcPr>
          <w:p w14:paraId="4A97F337"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63.2%</w:t>
            </w:r>
          </w:p>
        </w:tc>
        <w:tc>
          <w:tcPr>
            <w:tcW w:w="1206" w:type="dxa"/>
            <w:tcMar>
              <w:top w:w="115" w:type="dxa"/>
              <w:left w:w="202" w:type="dxa"/>
              <w:right w:w="202" w:type="dxa"/>
            </w:tcMar>
            <w:vAlign w:val="center"/>
          </w:tcPr>
          <w:p w14:paraId="425A669D"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23.6%</w:t>
            </w:r>
          </w:p>
        </w:tc>
      </w:tr>
      <w:tr w:rsidR="00E97C65" w:rsidRPr="0032255E" w14:paraId="405C62A8" w14:textId="77777777" w:rsidTr="00FF37F2">
        <w:trPr>
          <w:trHeight w:val="457"/>
        </w:trPr>
        <w:tc>
          <w:tcPr>
            <w:tcW w:w="1957" w:type="dxa"/>
            <w:tcMar>
              <w:top w:w="115" w:type="dxa"/>
              <w:left w:w="202" w:type="dxa"/>
              <w:right w:w="202" w:type="dxa"/>
            </w:tcMar>
            <w:vAlign w:val="center"/>
          </w:tcPr>
          <w:p w14:paraId="4C130E63" w14:textId="77777777" w:rsidR="00E97C65" w:rsidRPr="00975077" w:rsidRDefault="00E97C65" w:rsidP="00E97C65">
            <w:pPr>
              <w:pStyle w:val="BodyText"/>
              <w:spacing w:before="0"/>
              <w:jc w:val="center"/>
              <w:rPr>
                <w:rStyle w:val="normaltextrun"/>
                <w:rFonts w:eastAsiaTheme="minorBidi"/>
                <w:b/>
              </w:rPr>
            </w:pPr>
            <w:r w:rsidRPr="00975077">
              <w:rPr>
                <w:rStyle w:val="normaltextrun"/>
                <w:rFonts w:eastAsiaTheme="minorBidi"/>
                <w:b/>
              </w:rPr>
              <w:t xml:space="preserve">≥1 </w:t>
            </w:r>
            <w:r>
              <w:rPr>
                <w:rStyle w:val="normaltextrun"/>
                <w:rFonts w:eastAsiaTheme="minorBidi"/>
                <w:b/>
              </w:rPr>
              <w:t>D</w:t>
            </w:r>
            <w:r w:rsidRPr="00975077">
              <w:rPr>
                <w:rStyle w:val="normaltextrun"/>
                <w:rFonts w:eastAsiaTheme="minorBidi"/>
                <w:b/>
              </w:rPr>
              <w:t xml:space="preserve">ose </w:t>
            </w:r>
            <w:r>
              <w:rPr>
                <w:rStyle w:val="normaltextrun"/>
                <w:rFonts w:eastAsiaTheme="minorBidi"/>
                <w:b/>
              </w:rPr>
              <w:br/>
            </w:r>
            <w:r w:rsidRPr="00975077">
              <w:rPr>
                <w:rStyle w:val="normaltextrun"/>
                <w:rFonts w:eastAsiaTheme="minorBidi"/>
                <w:b/>
              </w:rPr>
              <w:t xml:space="preserve">of </w:t>
            </w:r>
            <w:r w:rsidRPr="00975077">
              <w:rPr>
                <w:rStyle w:val="spellingerror"/>
                <w:rFonts w:eastAsiaTheme="minorBidi"/>
                <w:b/>
              </w:rPr>
              <w:t>MenACWY</w:t>
            </w:r>
          </w:p>
        </w:tc>
        <w:tc>
          <w:tcPr>
            <w:tcW w:w="1150" w:type="dxa"/>
            <w:tcMar>
              <w:top w:w="115" w:type="dxa"/>
              <w:left w:w="202" w:type="dxa"/>
              <w:right w:w="202" w:type="dxa"/>
            </w:tcMar>
            <w:vAlign w:val="center"/>
          </w:tcPr>
          <w:p w14:paraId="121BBACB"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82.2%</w:t>
            </w:r>
          </w:p>
        </w:tc>
        <w:tc>
          <w:tcPr>
            <w:tcW w:w="1150" w:type="dxa"/>
            <w:tcMar>
              <w:top w:w="115" w:type="dxa"/>
              <w:left w:w="202" w:type="dxa"/>
              <w:right w:w="202" w:type="dxa"/>
            </w:tcMar>
            <w:vAlign w:val="center"/>
          </w:tcPr>
          <w:p w14:paraId="4CD9B485"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85.5%</w:t>
            </w:r>
          </w:p>
        </w:tc>
        <w:tc>
          <w:tcPr>
            <w:tcW w:w="1417" w:type="dxa"/>
            <w:tcMar>
              <w:top w:w="115" w:type="dxa"/>
              <w:left w:w="202" w:type="dxa"/>
              <w:right w:w="202" w:type="dxa"/>
            </w:tcMar>
            <w:vAlign w:val="center"/>
          </w:tcPr>
          <w:p w14:paraId="56EF23B0"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82.9%</w:t>
            </w:r>
          </w:p>
        </w:tc>
        <w:tc>
          <w:tcPr>
            <w:tcW w:w="1269" w:type="dxa"/>
            <w:tcMar>
              <w:top w:w="115" w:type="dxa"/>
              <w:left w:w="202" w:type="dxa"/>
              <w:right w:w="202" w:type="dxa"/>
            </w:tcMar>
            <w:vAlign w:val="center"/>
          </w:tcPr>
          <w:p w14:paraId="2F38FAD1"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87.2%</w:t>
            </w:r>
          </w:p>
        </w:tc>
        <w:tc>
          <w:tcPr>
            <w:tcW w:w="1332" w:type="dxa"/>
            <w:tcMar>
              <w:top w:w="115" w:type="dxa"/>
              <w:left w:w="202" w:type="dxa"/>
              <w:right w:w="202" w:type="dxa"/>
            </w:tcMar>
            <w:vAlign w:val="center"/>
          </w:tcPr>
          <w:p w14:paraId="37FB02A3"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91.6%</w:t>
            </w:r>
          </w:p>
        </w:tc>
        <w:tc>
          <w:tcPr>
            <w:tcW w:w="1206" w:type="dxa"/>
            <w:tcMar>
              <w:top w:w="115" w:type="dxa"/>
              <w:left w:w="202" w:type="dxa"/>
              <w:right w:w="202" w:type="dxa"/>
            </w:tcMar>
            <w:vAlign w:val="center"/>
          </w:tcPr>
          <w:p w14:paraId="33A0F178"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color w:val="000000" w:themeColor="text2"/>
              </w:rPr>
              <w:t>87.7%</w:t>
            </w:r>
          </w:p>
        </w:tc>
      </w:tr>
      <w:tr w:rsidR="00E97C65" w:rsidRPr="0032255E" w14:paraId="5480DCFF" w14:textId="77777777" w:rsidTr="00FF37F2">
        <w:trPr>
          <w:cnfStyle w:val="000000010000" w:firstRow="0" w:lastRow="0" w:firstColumn="0" w:lastColumn="0" w:oddVBand="0" w:evenVBand="0" w:oddHBand="0" w:evenHBand="1" w:firstRowFirstColumn="0" w:firstRowLastColumn="0" w:lastRowFirstColumn="0" w:lastRowLastColumn="0"/>
          <w:trHeight w:val="457"/>
        </w:trPr>
        <w:tc>
          <w:tcPr>
            <w:tcW w:w="1957" w:type="dxa"/>
            <w:tcMar>
              <w:top w:w="115" w:type="dxa"/>
              <w:left w:w="202" w:type="dxa"/>
              <w:right w:w="202" w:type="dxa"/>
            </w:tcMar>
            <w:vAlign w:val="center"/>
          </w:tcPr>
          <w:p w14:paraId="3341AD9C" w14:textId="77777777" w:rsidR="00E97C65" w:rsidRPr="00975077" w:rsidRDefault="00E97C65" w:rsidP="00E97C65">
            <w:pPr>
              <w:pStyle w:val="BodyText"/>
              <w:spacing w:before="0"/>
              <w:jc w:val="center"/>
              <w:rPr>
                <w:rStyle w:val="normaltextrun"/>
                <w:rFonts w:eastAsiaTheme="minorBidi"/>
                <w:b/>
              </w:rPr>
            </w:pPr>
            <w:r w:rsidRPr="00975077">
              <w:rPr>
                <w:rStyle w:val="normaltextrun"/>
                <w:rFonts w:eastAsiaTheme="minorBidi"/>
                <w:b/>
              </w:rPr>
              <w:t xml:space="preserve">≥1 </w:t>
            </w:r>
            <w:r>
              <w:rPr>
                <w:rStyle w:val="normaltextrun"/>
                <w:rFonts w:eastAsiaTheme="minorBidi"/>
                <w:b/>
              </w:rPr>
              <w:t>D</w:t>
            </w:r>
            <w:r w:rsidRPr="00975077">
              <w:rPr>
                <w:rStyle w:val="normaltextrun"/>
                <w:rFonts w:eastAsiaTheme="minorBidi"/>
                <w:b/>
              </w:rPr>
              <w:t xml:space="preserve">ose </w:t>
            </w:r>
            <w:r>
              <w:rPr>
                <w:rStyle w:val="normaltextrun"/>
                <w:rFonts w:eastAsiaTheme="minorBidi"/>
                <w:b/>
              </w:rPr>
              <w:br/>
            </w:r>
            <w:r w:rsidRPr="00975077">
              <w:rPr>
                <w:rStyle w:val="normaltextrun"/>
                <w:rFonts w:eastAsiaTheme="minorBidi"/>
                <w:b/>
              </w:rPr>
              <w:t>of Tdap</w:t>
            </w:r>
          </w:p>
        </w:tc>
        <w:tc>
          <w:tcPr>
            <w:tcW w:w="1150" w:type="dxa"/>
            <w:tcMar>
              <w:top w:w="115" w:type="dxa"/>
              <w:left w:w="202" w:type="dxa"/>
              <w:right w:w="202" w:type="dxa"/>
            </w:tcMar>
            <w:vAlign w:val="center"/>
          </w:tcPr>
          <w:p w14:paraId="79AE06B2"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rPr>
              <w:t>88.0%</w:t>
            </w:r>
          </w:p>
        </w:tc>
        <w:tc>
          <w:tcPr>
            <w:tcW w:w="1150" w:type="dxa"/>
            <w:tcMar>
              <w:top w:w="115" w:type="dxa"/>
              <w:left w:w="202" w:type="dxa"/>
              <w:right w:w="202" w:type="dxa"/>
            </w:tcMar>
            <w:vAlign w:val="center"/>
          </w:tcPr>
          <w:p w14:paraId="2443D061"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rPr>
              <w:t>85.0%</w:t>
            </w:r>
          </w:p>
        </w:tc>
        <w:tc>
          <w:tcPr>
            <w:tcW w:w="1417" w:type="dxa"/>
            <w:tcMar>
              <w:top w:w="115" w:type="dxa"/>
              <w:left w:w="202" w:type="dxa"/>
              <w:right w:w="202" w:type="dxa"/>
            </w:tcMar>
            <w:vAlign w:val="center"/>
          </w:tcPr>
          <w:p w14:paraId="589DDA80"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rPr>
              <w:t>86.2%</w:t>
            </w:r>
          </w:p>
        </w:tc>
        <w:tc>
          <w:tcPr>
            <w:tcW w:w="1269" w:type="dxa"/>
            <w:tcMar>
              <w:top w:w="115" w:type="dxa"/>
              <w:left w:w="202" w:type="dxa"/>
              <w:right w:w="202" w:type="dxa"/>
            </w:tcMar>
            <w:vAlign w:val="center"/>
          </w:tcPr>
          <w:p w14:paraId="3AD4425B"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rPr>
              <w:t>85.4%</w:t>
            </w:r>
          </w:p>
        </w:tc>
        <w:tc>
          <w:tcPr>
            <w:tcW w:w="1332" w:type="dxa"/>
            <w:tcMar>
              <w:top w:w="115" w:type="dxa"/>
              <w:left w:w="202" w:type="dxa"/>
              <w:right w:w="202" w:type="dxa"/>
            </w:tcMar>
            <w:vAlign w:val="center"/>
          </w:tcPr>
          <w:p w14:paraId="7C027F70"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rPr>
              <w:t>83.4%</w:t>
            </w:r>
          </w:p>
        </w:tc>
        <w:tc>
          <w:tcPr>
            <w:tcW w:w="1206" w:type="dxa"/>
            <w:tcMar>
              <w:top w:w="115" w:type="dxa"/>
              <w:left w:w="202" w:type="dxa"/>
              <w:right w:w="202" w:type="dxa"/>
            </w:tcMar>
            <w:vAlign w:val="center"/>
          </w:tcPr>
          <w:p w14:paraId="06DFD87D" w14:textId="77777777" w:rsidR="00E97C65" w:rsidRPr="00ED7841" w:rsidRDefault="00E97C65" w:rsidP="00CE66E1">
            <w:pPr>
              <w:pStyle w:val="BodyText"/>
              <w:spacing w:before="0"/>
              <w:jc w:val="center"/>
              <w:rPr>
                <w:rStyle w:val="normaltextrun"/>
                <w:rFonts w:eastAsia="Verdana" w:cs="Verdana"/>
                <w:color w:val="000000" w:themeColor="text2"/>
                <w:sz w:val="22"/>
              </w:rPr>
            </w:pPr>
            <w:r w:rsidRPr="00ED7841">
              <w:rPr>
                <w:rStyle w:val="normaltextrun"/>
                <w:rFonts w:eastAsia="Verdana" w:cs="Verdana"/>
              </w:rPr>
              <w:t>83.0%</w:t>
            </w:r>
          </w:p>
        </w:tc>
      </w:tr>
    </w:tbl>
    <w:p w14:paraId="20281E4B" w14:textId="0A10DB11" w:rsidR="00FF37F2" w:rsidRDefault="00FF37F2" w:rsidP="00FF37F2">
      <w:pPr>
        <w:pStyle w:val="BodyText"/>
      </w:pPr>
      <w:r>
        <w:t>In 2016, c</w:t>
      </w:r>
      <w:r w:rsidRPr="00DA1023">
        <w:t xml:space="preserve">overage rates for HPV </w:t>
      </w:r>
      <w:r>
        <w:t xml:space="preserve">vaccine </w:t>
      </w:r>
      <w:r w:rsidRPr="00DA1023">
        <w:t xml:space="preserve">series completion </w:t>
      </w:r>
      <w:r>
        <w:t>(</w:t>
      </w:r>
      <w:r w:rsidRPr="00DA1023">
        <w:t>or up-to-date rate</w:t>
      </w:r>
      <w:r>
        <w:t>s)</w:t>
      </w:r>
      <w:r w:rsidRPr="00DA1023">
        <w:t xml:space="preserve"> for all adolescents </w:t>
      </w:r>
      <w:r>
        <w:t>in Texas were</w:t>
      </w:r>
      <w:r w:rsidRPr="00DA1023">
        <w:t xml:space="preserve"> lower than the national rate and var</w:t>
      </w:r>
      <w:r>
        <w:t>ied</w:t>
      </w:r>
      <w:r w:rsidRPr="00DA1023">
        <w:t xml:space="preserve"> greatly among </w:t>
      </w:r>
      <w:r>
        <w:t>the selected urban</w:t>
      </w:r>
      <w:r w:rsidRPr="00DA1023">
        <w:t xml:space="preserve"> </w:t>
      </w:r>
      <w:r>
        <w:t>area</w:t>
      </w:r>
      <w:r w:rsidRPr="00DA1023">
        <w:t xml:space="preserve">s. </w:t>
      </w:r>
      <w:r>
        <w:t>Texas’ adolescent c</w:t>
      </w:r>
      <w:r w:rsidRPr="00DA1023">
        <w:t xml:space="preserve">overage rate for </w:t>
      </w:r>
      <w:r>
        <w:t>HPV</w:t>
      </w:r>
      <w:r w:rsidRPr="00DA1023">
        <w:t xml:space="preserve"> series initiation</w:t>
      </w:r>
      <w:r>
        <w:t xml:space="preserve"> (i.e., having received one or more doses)</w:t>
      </w:r>
      <w:r w:rsidRPr="00DA1023">
        <w:t xml:space="preserve"> </w:t>
      </w:r>
      <w:r>
        <w:t xml:space="preserve">was </w:t>
      </w:r>
      <w:r w:rsidRPr="00DA1023">
        <w:t>49.3 percent</w:t>
      </w:r>
      <w:r>
        <w:t>,</w:t>
      </w:r>
      <w:r w:rsidRPr="00DA1023">
        <w:t xml:space="preserve"> simi</w:t>
      </w:r>
      <w:r>
        <w:t xml:space="preserve">lar to the rate recorded </w:t>
      </w:r>
      <w:r w:rsidRPr="008B4248">
        <w:t>in 2015</w:t>
      </w:r>
      <w:r>
        <w:t xml:space="preserve"> (50.6 percent). </w:t>
      </w:r>
      <w:r w:rsidRPr="00DA1023">
        <w:t>HPV coverage</w:t>
      </w:r>
      <w:r>
        <w:t xml:space="preserve"> rates</w:t>
      </w:r>
      <w:r w:rsidRPr="00DA1023">
        <w:t xml:space="preserve"> among </w:t>
      </w:r>
      <w:r>
        <w:t>the selected urban areas</w:t>
      </w:r>
      <w:r w:rsidR="006A7E40">
        <w:t xml:space="preserve"> showing series </w:t>
      </w:r>
      <w:r w:rsidR="008B1FD9">
        <w:t>initiation</w:t>
      </w:r>
      <w:r w:rsidRPr="00DA1023">
        <w:t xml:space="preserve"> </w:t>
      </w:r>
      <w:r>
        <w:t>varied</w:t>
      </w:r>
      <w:r w:rsidRPr="00DA1023">
        <w:t xml:space="preserve"> from 45.7 percent to 79.8 percent.</w:t>
      </w:r>
      <w:r>
        <w:t xml:space="preserve"> Figure </w:t>
      </w:r>
      <w:r w:rsidR="004E0D65">
        <w:t>2</w:t>
      </w:r>
      <w:r>
        <w:t xml:space="preserve"> below shows male and female HPV</w:t>
      </w:r>
      <w:r w:rsidRPr="006D5794">
        <w:t xml:space="preserve"> </w:t>
      </w:r>
      <w:r>
        <w:t xml:space="preserve">vaccine </w:t>
      </w:r>
      <w:r w:rsidRPr="006D5794">
        <w:t>coverage trends since 2008</w:t>
      </w:r>
      <w:r>
        <w:t>.</w:t>
      </w:r>
      <w:r>
        <w:rPr>
          <w:rStyle w:val="FootnoteReference"/>
        </w:rPr>
        <w:footnoteReference w:id="10"/>
      </w:r>
      <w:r>
        <w:t xml:space="preserve"> </w:t>
      </w:r>
    </w:p>
    <w:p w14:paraId="2FA08E2F" w14:textId="68DCA40D" w:rsidR="00FF37F2" w:rsidRDefault="00FF37F2" w:rsidP="00FF37F2">
      <w:pPr>
        <w:pStyle w:val="Caption"/>
      </w:pPr>
      <w:r>
        <w:lastRenderedPageBreak/>
        <w:t xml:space="preserve">Figure </w:t>
      </w:r>
      <w:r>
        <w:rPr>
          <w:noProof/>
        </w:rPr>
        <w:fldChar w:fldCharType="begin"/>
      </w:r>
      <w:r>
        <w:rPr>
          <w:noProof/>
        </w:rPr>
        <w:instrText xml:space="preserve"> SEQ Figure \* ARABIC </w:instrText>
      </w:r>
      <w:r>
        <w:rPr>
          <w:noProof/>
        </w:rPr>
        <w:fldChar w:fldCharType="separate"/>
      </w:r>
      <w:r w:rsidR="0057330E">
        <w:rPr>
          <w:noProof/>
        </w:rPr>
        <w:t>2</w:t>
      </w:r>
      <w:r>
        <w:rPr>
          <w:noProof/>
        </w:rPr>
        <w:fldChar w:fldCharType="end"/>
      </w:r>
      <w:r>
        <w:t xml:space="preserve">. </w:t>
      </w:r>
      <w:r w:rsidRPr="0052478D">
        <w:t xml:space="preserve">HPV Vaccine Series Initiation Coverage </w:t>
      </w:r>
      <w:r>
        <w:t>A</w:t>
      </w:r>
      <w:r w:rsidRPr="0052478D">
        <w:t>mong Adolescents 13-17 Years of Age, Texas, National Immunization Survey, 2008-2016.</w:t>
      </w:r>
    </w:p>
    <w:p w14:paraId="3D7B60FD" w14:textId="77777777" w:rsidR="00FF37F2" w:rsidRPr="00E47928" w:rsidRDefault="00FF37F2" w:rsidP="00FF37F2">
      <w:pPr>
        <w:pStyle w:val="Caption"/>
      </w:pPr>
      <w:r>
        <w:rPr>
          <w:noProof/>
        </w:rPr>
        <w:drawing>
          <wp:inline distT="0" distB="0" distL="0" distR="0" wp14:anchorId="4144A16D" wp14:editId="00F1B26F">
            <wp:extent cx="5916168" cy="2377440"/>
            <wp:effectExtent l="0" t="0" r="8890" b="3810"/>
            <wp:docPr id="1" name="Chart 1" descr="Graph 8. HPV Vaccine Series Initiation Coverage among Adolescents 13-17 Years of Age, Texas, National Immunization Survey, 2008-2016." title="Graph 8. HPV Vaccine Series Initiation Coverage among Adolescents 13-17 Years of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EAAF535" w14:textId="7A1447E7" w:rsidR="006D5794" w:rsidRDefault="00E97C65" w:rsidP="006E14EA">
      <w:pPr>
        <w:pStyle w:val="BodyText"/>
      </w:pPr>
      <w:r>
        <w:t xml:space="preserve">In 2016, </w:t>
      </w:r>
      <w:r w:rsidR="00FF37F2">
        <w:t xml:space="preserve">Texas’ </w:t>
      </w:r>
      <w:r>
        <w:t>c</w:t>
      </w:r>
      <w:r w:rsidR="006D5794" w:rsidRPr="006D5794">
        <w:t xml:space="preserve">overage rates for </w:t>
      </w:r>
      <w:r>
        <w:t xml:space="preserve">the </w:t>
      </w:r>
      <w:r w:rsidR="006D5794" w:rsidRPr="006D5794">
        <w:t xml:space="preserve">Tdap </w:t>
      </w:r>
      <w:r w:rsidR="009468E2">
        <w:t xml:space="preserve">vaccine </w:t>
      </w:r>
      <w:r w:rsidR="00C5601A">
        <w:t>(85</w:t>
      </w:r>
      <w:r w:rsidR="006D5794" w:rsidRPr="006D5794">
        <w:t xml:space="preserve"> percent) were similar to rates recorded in 2015</w:t>
      </w:r>
      <w:r w:rsidR="00171B23">
        <w:t xml:space="preserve"> (85.1 percent)</w:t>
      </w:r>
      <w:r w:rsidR="006D5794" w:rsidRPr="006D5794">
        <w:t xml:space="preserve">. Rates for </w:t>
      </w:r>
      <w:r>
        <w:t xml:space="preserve">the </w:t>
      </w:r>
      <w:r w:rsidR="006D5794" w:rsidRPr="006D5794">
        <w:t>meningococcal conjugate vaccine</w:t>
      </w:r>
      <w:r w:rsidR="00FF37F2">
        <w:t xml:space="preserve"> (</w:t>
      </w:r>
      <w:r w:rsidR="00FF37F2" w:rsidRPr="006D5794">
        <w:t>85.5 percent</w:t>
      </w:r>
      <w:r w:rsidR="00FF37F2">
        <w:t>)</w:t>
      </w:r>
      <w:r w:rsidR="006D5794" w:rsidRPr="006D5794">
        <w:t xml:space="preserve"> decreased for the first time since 2008</w:t>
      </w:r>
      <w:r w:rsidR="00FF37F2">
        <w:t>, but</w:t>
      </w:r>
      <w:r w:rsidR="006D5794" w:rsidRPr="006D5794">
        <w:t xml:space="preserve"> continue</w:t>
      </w:r>
      <w:r w:rsidR="00FF37F2">
        <w:t>d</w:t>
      </w:r>
      <w:r w:rsidR="006D5794" w:rsidRPr="006D5794">
        <w:t xml:space="preserve"> to exceed the national average </w:t>
      </w:r>
      <w:r w:rsidR="00394E03">
        <w:t xml:space="preserve">of </w:t>
      </w:r>
      <w:r w:rsidR="006D5794" w:rsidRPr="006D5794">
        <w:t xml:space="preserve">82.2 percent. </w:t>
      </w:r>
      <w:r w:rsidR="009468E2">
        <w:t xml:space="preserve">Figure </w:t>
      </w:r>
      <w:r w:rsidR="004E0D65">
        <w:t xml:space="preserve">3 </w:t>
      </w:r>
      <w:r>
        <w:t>below shows</w:t>
      </w:r>
      <w:r w:rsidR="006D5794" w:rsidRPr="006D5794">
        <w:t xml:space="preserve"> MenACWY</w:t>
      </w:r>
      <w:r>
        <w:t xml:space="preserve"> and </w:t>
      </w:r>
      <w:r w:rsidRPr="006D5794">
        <w:t>T</w:t>
      </w:r>
      <w:r>
        <w:t>dap</w:t>
      </w:r>
      <w:r w:rsidR="006D5794" w:rsidRPr="006D5794">
        <w:t xml:space="preserve"> </w:t>
      </w:r>
      <w:r w:rsidR="009468E2">
        <w:t xml:space="preserve">vaccine </w:t>
      </w:r>
      <w:r w:rsidR="006D5794" w:rsidRPr="006D5794">
        <w:t>coverage trends since 2008.</w:t>
      </w:r>
    </w:p>
    <w:p w14:paraId="2F8DD28A" w14:textId="1E9CAC89" w:rsidR="00C72748" w:rsidRDefault="00C72748" w:rsidP="00C72748">
      <w:pPr>
        <w:pStyle w:val="Caption"/>
      </w:pPr>
      <w:r>
        <w:t xml:space="preserve">Figure </w:t>
      </w:r>
      <w:r w:rsidR="008E3A1A">
        <w:rPr>
          <w:noProof/>
        </w:rPr>
        <w:fldChar w:fldCharType="begin"/>
      </w:r>
      <w:r w:rsidR="008E3A1A">
        <w:rPr>
          <w:noProof/>
        </w:rPr>
        <w:instrText xml:space="preserve"> SEQ Figure \* ARABIC </w:instrText>
      </w:r>
      <w:r w:rsidR="008E3A1A">
        <w:rPr>
          <w:noProof/>
        </w:rPr>
        <w:fldChar w:fldCharType="separate"/>
      </w:r>
      <w:r w:rsidR="0057330E">
        <w:rPr>
          <w:noProof/>
        </w:rPr>
        <w:t>3</w:t>
      </w:r>
      <w:r w:rsidR="008E3A1A">
        <w:rPr>
          <w:noProof/>
        </w:rPr>
        <w:fldChar w:fldCharType="end"/>
      </w:r>
      <w:r>
        <w:t xml:space="preserve">. </w:t>
      </w:r>
      <w:r w:rsidRPr="00273BB8">
        <w:t xml:space="preserve">Tdap and Meningococcal Vaccine Coverage </w:t>
      </w:r>
      <w:r w:rsidR="009974B5">
        <w:t>A</w:t>
      </w:r>
      <w:r w:rsidRPr="00273BB8">
        <w:t>mong Adolescents 13-17 Years of Age, Texas, National Immunization Survey, 2008-2016.</w:t>
      </w:r>
    </w:p>
    <w:p w14:paraId="6ED2BB57" w14:textId="77777777" w:rsidR="0069381F" w:rsidRDefault="0069381F" w:rsidP="00580A66">
      <w:pPr>
        <w:pStyle w:val="Caption"/>
      </w:pPr>
      <w:r>
        <w:rPr>
          <w:noProof/>
        </w:rPr>
        <w:drawing>
          <wp:inline distT="0" distB="0" distL="0" distR="0" wp14:anchorId="08C2C1FB" wp14:editId="7E01D49C">
            <wp:extent cx="5916168" cy="2377440"/>
            <wp:effectExtent l="0" t="0" r="8890" b="3810"/>
            <wp:docPr id="25" name="Chart 25" descr="Graph 7. Tdap and Meningococcal Vaccine Coverage among Adolescents 13-17 Years of Age, Texas, National Immunization Survey, 2008-2016." title="Graph 7. Tdap and Meningococcal Vaccine Coverage among Adolescents 13-17 Years of Age"/>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ECED8B3" w14:textId="77777777" w:rsidR="00B55F87" w:rsidRDefault="5DDCF1D8" w:rsidP="00544488">
      <w:pPr>
        <w:pStyle w:val="Heading1"/>
      </w:pPr>
      <w:bookmarkStart w:id="14" w:name="_Toc521498641"/>
      <w:bookmarkStart w:id="15" w:name="_Toc521498642"/>
      <w:bookmarkStart w:id="16" w:name="_Toc521498643"/>
      <w:bookmarkStart w:id="17" w:name="_Toc522706954"/>
      <w:bookmarkEnd w:id="14"/>
      <w:bookmarkEnd w:id="15"/>
      <w:bookmarkEnd w:id="16"/>
      <w:r>
        <w:lastRenderedPageBreak/>
        <w:t>Approaches to Increase Immunization Rates</w:t>
      </w:r>
      <w:bookmarkEnd w:id="17"/>
    </w:p>
    <w:p w14:paraId="505C0685" w14:textId="2D1A44B3" w:rsidR="00334469" w:rsidRDefault="00B86E0F" w:rsidP="00580A66">
      <w:r>
        <w:t>The Department of State Health Services (</w:t>
      </w:r>
      <w:r w:rsidR="00A86157">
        <w:t>DSHS</w:t>
      </w:r>
      <w:r>
        <w:t>)</w:t>
      </w:r>
      <w:r w:rsidR="00A86157">
        <w:t xml:space="preserve"> takes a multifaceted approach to increas</w:t>
      </w:r>
      <w:r w:rsidR="00B075FC">
        <w:t>e</w:t>
      </w:r>
      <w:r w:rsidR="00F93A02">
        <w:t xml:space="preserve"> immunization rates in Texas</w:t>
      </w:r>
      <w:r w:rsidR="001015EB">
        <w:t xml:space="preserve"> that includes providing</w:t>
      </w:r>
      <w:r w:rsidR="00A86157">
        <w:t xml:space="preserve"> free vaccine</w:t>
      </w:r>
      <w:r w:rsidR="00B07AD8">
        <w:t>s</w:t>
      </w:r>
      <w:r w:rsidR="00A86157">
        <w:t xml:space="preserve"> to </w:t>
      </w:r>
      <w:r w:rsidR="00A86157" w:rsidRPr="00F93A02">
        <w:t xml:space="preserve">vulnerable </w:t>
      </w:r>
      <w:r w:rsidR="00A86157">
        <w:t xml:space="preserve">populations, </w:t>
      </w:r>
      <w:r w:rsidR="001015EB">
        <w:t xml:space="preserve">employing </w:t>
      </w:r>
      <w:r w:rsidR="00835177">
        <w:t xml:space="preserve">quality improvement efforts, </w:t>
      </w:r>
      <w:r w:rsidR="001015EB">
        <w:t xml:space="preserve">performing </w:t>
      </w:r>
      <w:r w:rsidR="00A86157">
        <w:t>educational outreach</w:t>
      </w:r>
      <w:r w:rsidR="00D6686E">
        <w:t>, and</w:t>
      </w:r>
      <w:r w:rsidR="00D6686E" w:rsidRPr="00D6686E">
        <w:t xml:space="preserve"> </w:t>
      </w:r>
      <w:r w:rsidR="001015EB">
        <w:t xml:space="preserve">engaging </w:t>
      </w:r>
      <w:r w:rsidR="00835177">
        <w:t xml:space="preserve">and </w:t>
      </w:r>
      <w:r w:rsidR="001015EB">
        <w:t xml:space="preserve">collaborating </w:t>
      </w:r>
      <w:r w:rsidR="00835177">
        <w:t>with partners and stakeholders</w:t>
      </w:r>
      <w:r w:rsidR="00A86157">
        <w:t xml:space="preserve">. </w:t>
      </w:r>
    </w:p>
    <w:p w14:paraId="7572FEB2" w14:textId="77777777" w:rsidR="008E3A1A" w:rsidRPr="00636588" w:rsidRDefault="008E3A1A" w:rsidP="00544488">
      <w:pPr>
        <w:pStyle w:val="Heading2"/>
      </w:pPr>
      <w:bookmarkStart w:id="18" w:name="_Toc522706955"/>
      <w:r w:rsidRPr="00636588">
        <w:t>Vaccine Safety Net</w:t>
      </w:r>
      <w:bookmarkEnd w:id="18"/>
    </w:p>
    <w:p w14:paraId="57A1DF75" w14:textId="05050620" w:rsidR="000C10EE" w:rsidRDefault="001015EB" w:rsidP="000C10EE">
      <w:r>
        <w:t>DSHS</w:t>
      </w:r>
      <w:r w:rsidR="00334469">
        <w:t xml:space="preserve"> oversees two programs that provide vaccine</w:t>
      </w:r>
      <w:r w:rsidR="00C0033D">
        <w:t>s to Texans,</w:t>
      </w:r>
      <w:r w:rsidR="00334469">
        <w:t xml:space="preserve"> the Texas Vaccines for Children (TVFC) program and the Adult Safety Net (ASN) program</w:t>
      </w:r>
      <w:r>
        <w:t>, which</w:t>
      </w:r>
      <w:r w:rsidR="009C7D1E" w:rsidRPr="00FB6542">
        <w:t xml:space="preserve"> provide free childhood and adult vaccines to eligible Texans who may not otherwise receive immunizations due to </w:t>
      </w:r>
      <w:r w:rsidR="0070056E">
        <w:t xml:space="preserve">an </w:t>
      </w:r>
      <w:r w:rsidR="009C7D1E" w:rsidRPr="00FB6542">
        <w:t>inability to pay.</w:t>
      </w:r>
      <w:r w:rsidR="009C7D1E">
        <w:t xml:space="preserve"> </w:t>
      </w:r>
    </w:p>
    <w:p w14:paraId="780681D0" w14:textId="77777777" w:rsidR="008E3A1A" w:rsidRDefault="008E3A1A" w:rsidP="00544488">
      <w:pPr>
        <w:pStyle w:val="Heading2"/>
      </w:pPr>
      <w:bookmarkStart w:id="19" w:name="_Toc522706956"/>
      <w:r w:rsidRPr="00636588">
        <w:t>Quality Improvement</w:t>
      </w:r>
      <w:bookmarkEnd w:id="19"/>
      <w:r w:rsidRPr="00636588">
        <w:t xml:space="preserve"> </w:t>
      </w:r>
    </w:p>
    <w:p w14:paraId="2CAF0180" w14:textId="77777777" w:rsidR="00CB5C7E" w:rsidRDefault="00CB5C7E" w:rsidP="00544488">
      <w:r>
        <w:t>In addition to providing vaccines, DSHS employs quality improvement mechanisms to help participating providers effectively meet immunization goals. Among the quality improvement mechanisms recently employed are the following:</w:t>
      </w:r>
    </w:p>
    <w:p w14:paraId="50D94592" w14:textId="77777777" w:rsidR="000C10EE" w:rsidRDefault="000C10EE" w:rsidP="00544488">
      <w:pPr>
        <w:pStyle w:val="ListBullet"/>
        <w:contextualSpacing w:val="0"/>
      </w:pPr>
      <w:r w:rsidRPr="00CB5C7E">
        <w:rPr>
          <w:b/>
        </w:rPr>
        <w:t>Assessment, Feedback, Incentives and eXchange (AFIX)</w:t>
      </w:r>
      <w:r w:rsidR="00CB5C7E" w:rsidRPr="00CB5C7E">
        <w:rPr>
          <w:b/>
        </w:rPr>
        <w:t>:</w:t>
      </w:r>
      <w:r w:rsidR="00CB5C7E">
        <w:t xml:space="preserve"> </w:t>
      </w:r>
      <w:r w:rsidRPr="00563270">
        <w:t xml:space="preserve">a quality improvement program conducted at facilities enrolled in the </w:t>
      </w:r>
      <w:r>
        <w:t>TVFC</w:t>
      </w:r>
      <w:r w:rsidRPr="00563270">
        <w:t xml:space="preserve"> </w:t>
      </w:r>
      <w:r>
        <w:t>p</w:t>
      </w:r>
      <w:r w:rsidRPr="00563270">
        <w:t>rogram</w:t>
      </w:r>
      <w:r w:rsidR="00CB5C7E">
        <w:t xml:space="preserve"> </w:t>
      </w:r>
      <w:r w:rsidR="0043170C">
        <w:t>with the goal of</w:t>
      </w:r>
      <w:r w:rsidR="00261D56">
        <w:t xml:space="preserve"> increas</w:t>
      </w:r>
      <w:r w:rsidR="0043170C">
        <w:t>ing</w:t>
      </w:r>
      <w:r w:rsidR="00CB5C7E" w:rsidRPr="00563270">
        <w:t xml:space="preserve"> </w:t>
      </w:r>
      <w:r w:rsidRPr="00563270">
        <w:t>vaccination of children and adolescents with all Advisory Committee o</w:t>
      </w:r>
      <w:r>
        <w:t>n Immunization Practices (ACIP)</w:t>
      </w:r>
      <w:r w:rsidR="0070056E">
        <w:t>-</w:t>
      </w:r>
      <w:r w:rsidRPr="00563270">
        <w:t>recommended vaccines by reducing missed opportunities and improving delivery practices.</w:t>
      </w:r>
    </w:p>
    <w:p w14:paraId="3A4EC31D" w14:textId="7350A614" w:rsidR="000C10EE" w:rsidRDefault="00CB5C7E" w:rsidP="00544488">
      <w:pPr>
        <w:pStyle w:val="ListBullet"/>
        <w:contextualSpacing w:val="0"/>
      </w:pPr>
      <w:r w:rsidRPr="00DA7303">
        <w:rPr>
          <w:b/>
        </w:rPr>
        <w:t>Tdap and HPV Vaccine Improvement</w:t>
      </w:r>
      <w:r w:rsidR="00DA7303" w:rsidRPr="00DA7303">
        <w:rPr>
          <w:b/>
        </w:rPr>
        <w:t xml:space="preserve"> </w:t>
      </w:r>
      <w:r w:rsidR="00DA7303">
        <w:rPr>
          <w:b/>
        </w:rPr>
        <w:t>Efforts</w:t>
      </w:r>
      <w:r w:rsidRPr="00DA7303">
        <w:rPr>
          <w:b/>
        </w:rPr>
        <w:t>:</w:t>
      </w:r>
      <w:r>
        <w:t xml:space="preserve"> a </w:t>
      </w:r>
      <w:r w:rsidR="000C10EE">
        <w:t xml:space="preserve">data-driven, quality improvement effort </w:t>
      </w:r>
      <w:r>
        <w:t xml:space="preserve">that </w:t>
      </w:r>
      <w:r w:rsidR="000C10EE">
        <w:t xml:space="preserve">targets adolescent coverage rates. </w:t>
      </w:r>
      <w:r w:rsidR="000C10EE" w:rsidRPr="00CC0BBF">
        <w:t>Each quarter, DSHS reports to each site enrolled in TVFC their number of doses orde</w:t>
      </w:r>
      <w:r w:rsidR="0073737F">
        <w:t>red for Tdap and HPV vaccines (o</w:t>
      </w:r>
      <w:r w:rsidR="000C10EE" w:rsidRPr="00CC0BBF">
        <w:t>ne dose of Tdap and three doses of HPV are recommended for an adolescent to be fully immunized against the</w:t>
      </w:r>
      <w:r w:rsidR="0073737F">
        <w:t>se</w:t>
      </w:r>
      <w:r w:rsidR="000C10EE" w:rsidRPr="00CC0BBF">
        <w:t xml:space="preserve"> diseases</w:t>
      </w:r>
      <w:r w:rsidR="0043170C">
        <w:t>)</w:t>
      </w:r>
      <w:r w:rsidR="000C10EE" w:rsidRPr="00CC0BBF">
        <w:t xml:space="preserve">. By comparing the ordering ratio of these vaccines, each site can understand its vaccine ordering practices and identify missed opportunities for </w:t>
      </w:r>
      <w:r w:rsidR="000C10EE">
        <w:t xml:space="preserve">HPV </w:t>
      </w:r>
      <w:r w:rsidR="000C10EE" w:rsidRPr="00CC0BBF">
        <w:t>immunization.</w:t>
      </w:r>
    </w:p>
    <w:p w14:paraId="7A9FF78A" w14:textId="77777777" w:rsidR="000C10EE" w:rsidRDefault="00DA7303" w:rsidP="00544488">
      <w:pPr>
        <w:pStyle w:val="ListBullet"/>
        <w:contextualSpacing w:val="0"/>
      </w:pPr>
      <w:r w:rsidRPr="00DA7303">
        <w:rPr>
          <w:b/>
        </w:rPr>
        <w:t>Improved Influenza Coverage:</w:t>
      </w:r>
      <w:r>
        <w:t xml:space="preserve"> For the</w:t>
      </w:r>
      <w:r w:rsidR="000C10EE" w:rsidRPr="00CC0BBF">
        <w:t xml:space="preserve"> 2018</w:t>
      </w:r>
      <w:r w:rsidR="0070056E">
        <w:t>–</w:t>
      </w:r>
      <w:r w:rsidR="000C10EE" w:rsidRPr="00CC0BBF">
        <w:t xml:space="preserve">19 influenza season, DSHS will implement a provider outreach project to improve seasonal influenza </w:t>
      </w:r>
      <w:r w:rsidR="000C10EE" w:rsidRPr="00CC0BBF">
        <w:lastRenderedPageBreak/>
        <w:t xml:space="preserve">immunization coverage. </w:t>
      </w:r>
      <w:r>
        <w:t>Throughout the</w:t>
      </w:r>
      <w:r w:rsidR="000C10EE" w:rsidRPr="00CC0BBF">
        <w:t xml:space="preserve"> season, DSHS will send monthly, personalized scorecards to TVFC providers with their number of influenza doses ordered and administered, and their influenza vaccine coverage rate. Providers can compare their performance to other providers in the county and across Texas. </w:t>
      </w:r>
      <w:r w:rsidR="000C10EE">
        <w:t xml:space="preserve"> </w:t>
      </w:r>
    </w:p>
    <w:p w14:paraId="65E85853" w14:textId="77777777" w:rsidR="008E3A1A" w:rsidRDefault="008E3A1A" w:rsidP="00544488">
      <w:pPr>
        <w:pStyle w:val="Heading2"/>
      </w:pPr>
      <w:bookmarkStart w:id="20" w:name="_Toc522706957"/>
      <w:r>
        <w:t>Educational O</w:t>
      </w:r>
      <w:r w:rsidRPr="00636588">
        <w:t>utreach</w:t>
      </w:r>
      <w:bookmarkEnd w:id="20"/>
      <w:r w:rsidRPr="00636588">
        <w:t xml:space="preserve"> </w:t>
      </w:r>
    </w:p>
    <w:p w14:paraId="1D915746" w14:textId="77777777" w:rsidR="00F37CE3" w:rsidRDefault="000C10EE" w:rsidP="000C10EE">
      <w:r>
        <w:t xml:space="preserve">DSHS </w:t>
      </w:r>
      <w:r w:rsidR="005C1948">
        <w:t xml:space="preserve">has recently employed </w:t>
      </w:r>
      <w:r>
        <w:t xml:space="preserve">a variety of </w:t>
      </w:r>
      <w:r w:rsidR="00F37CE3">
        <w:t xml:space="preserve">educational </w:t>
      </w:r>
      <w:r>
        <w:t>strategies to increase immunization rates</w:t>
      </w:r>
      <w:r w:rsidR="00F37CE3">
        <w:t>, including:</w:t>
      </w:r>
    </w:p>
    <w:p w14:paraId="6BCDDA37" w14:textId="77777777" w:rsidR="005C1948" w:rsidRDefault="005C1948" w:rsidP="00544488">
      <w:pPr>
        <w:pStyle w:val="ListBullet"/>
        <w:contextualSpacing w:val="0"/>
      </w:pPr>
      <w:r w:rsidRPr="000B1C3F">
        <w:rPr>
          <w:b/>
        </w:rPr>
        <w:t>Vaccine Education Online (VEO):</w:t>
      </w:r>
      <w:r>
        <w:t xml:space="preserve"> eLearning system that offers educational modules for </w:t>
      </w:r>
      <w:r w:rsidRPr="003A34F2">
        <w:t xml:space="preserve">physicians, nurses, and health education specialists </w:t>
      </w:r>
      <w:r>
        <w:t>to earn continuing education credit.</w:t>
      </w:r>
    </w:p>
    <w:p w14:paraId="53395C40" w14:textId="4D526CE7" w:rsidR="005C1948" w:rsidRDefault="005C1948" w:rsidP="00544488">
      <w:pPr>
        <w:pStyle w:val="ListBullet"/>
        <w:contextualSpacing w:val="0"/>
      </w:pPr>
      <w:r w:rsidRPr="000B1C3F">
        <w:rPr>
          <w:b/>
        </w:rPr>
        <w:t>“Every Dose Matters”:</w:t>
      </w:r>
      <w:r>
        <w:t xml:space="preserve"> Public education campaign promoting the CDC’s ACIP vaccine recommendations for children. Digital and broadcast media targeting providers, parents, and the public started in </w:t>
      </w:r>
      <w:r w:rsidR="00932AEF">
        <w:t>s</w:t>
      </w:r>
      <w:r>
        <w:t>pring 2018 and free printed resources were made available for order</w:t>
      </w:r>
      <w:r w:rsidR="0057330E">
        <w:t>.</w:t>
      </w:r>
    </w:p>
    <w:p w14:paraId="5A94EF38" w14:textId="40A4605F" w:rsidR="005C1948" w:rsidRDefault="005C1948" w:rsidP="00544488">
      <w:pPr>
        <w:pStyle w:val="ListBullet"/>
        <w:contextualSpacing w:val="0"/>
      </w:pPr>
      <w:r w:rsidRPr="000B1C3F">
        <w:rPr>
          <w:b/>
        </w:rPr>
        <w:t xml:space="preserve">Influenza and </w:t>
      </w:r>
      <w:r w:rsidR="00585E54">
        <w:rPr>
          <w:b/>
        </w:rPr>
        <w:t>P</w:t>
      </w:r>
      <w:r w:rsidRPr="000B1C3F">
        <w:rPr>
          <w:b/>
        </w:rPr>
        <w:t xml:space="preserve">neumococcal </w:t>
      </w:r>
      <w:r w:rsidR="00585E54">
        <w:rPr>
          <w:b/>
        </w:rPr>
        <w:t>E</w:t>
      </w:r>
      <w:r w:rsidRPr="000B1C3F">
        <w:rPr>
          <w:b/>
        </w:rPr>
        <w:t>ducation:</w:t>
      </w:r>
      <w:r>
        <w:t xml:space="preserve"> Mail-out of materials to more than 1,200 </w:t>
      </w:r>
      <w:r w:rsidRPr="00CC0BBF">
        <w:t>long-term care facilities</w:t>
      </w:r>
      <w:r>
        <w:t xml:space="preserve"> </w:t>
      </w:r>
      <w:r w:rsidRPr="00CC0BBF">
        <w:t xml:space="preserve">in </w:t>
      </w:r>
      <w:r>
        <w:t xml:space="preserve">May </w:t>
      </w:r>
      <w:r w:rsidRPr="00CC0BBF">
        <w:t>2018</w:t>
      </w:r>
      <w:r w:rsidRPr="003F782A">
        <w:t xml:space="preserve"> </w:t>
      </w:r>
      <w:r w:rsidRPr="00CC0BBF">
        <w:t>encouraging immunization of residents</w:t>
      </w:r>
      <w:r w:rsidR="00585E54">
        <w:t>.</w:t>
      </w:r>
      <w:r w:rsidR="00781A4C">
        <w:t xml:space="preserve"> </w:t>
      </w:r>
      <w:r w:rsidR="004E0D65">
        <w:t>E</w:t>
      </w:r>
      <w:r w:rsidR="00781A4C">
        <w:t xml:space="preserve">ducational materials can be found at </w:t>
      </w:r>
      <w:hyperlink r:id="rId24" w:history="1">
        <w:r w:rsidR="00781A4C" w:rsidRPr="00781A4C">
          <w:rPr>
            <w:rStyle w:val="Hyperlink"/>
            <w:rFonts w:cs="Calibri"/>
          </w:rPr>
          <w:t>http://immunizetexasorde</w:t>
        </w:r>
        <w:r w:rsidR="00781A4C" w:rsidRPr="008C433B">
          <w:rPr>
            <w:rStyle w:val="Hyperlink"/>
            <w:rFonts w:cs="Calibri"/>
          </w:rPr>
          <w:t>rform.com</w:t>
        </w:r>
      </w:hyperlink>
      <w:r w:rsidR="00781A4C">
        <w:t xml:space="preserve">. </w:t>
      </w:r>
    </w:p>
    <w:p w14:paraId="1EAA2DBC" w14:textId="77777777" w:rsidR="005C1948" w:rsidRPr="00CC3751" w:rsidRDefault="005C1948" w:rsidP="00544488">
      <w:pPr>
        <w:pStyle w:val="ListBullet"/>
        <w:contextualSpacing w:val="0"/>
      </w:pPr>
      <w:r w:rsidRPr="000B1C3F">
        <w:rPr>
          <w:b/>
        </w:rPr>
        <w:t xml:space="preserve">Adult and </w:t>
      </w:r>
      <w:r w:rsidR="00585E54">
        <w:rPr>
          <w:b/>
        </w:rPr>
        <w:t>F</w:t>
      </w:r>
      <w:r w:rsidRPr="000B1C3F">
        <w:rPr>
          <w:b/>
        </w:rPr>
        <w:t xml:space="preserve">irst </w:t>
      </w:r>
      <w:r w:rsidR="00585E54">
        <w:rPr>
          <w:b/>
        </w:rPr>
        <w:t>R</w:t>
      </w:r>
      <w:r w:rsidRPr="000B1C3F">
        <w:rPr>
          <w:b/>
        </w:rPr>
        <w:t xml:space="preserve">esponder </w:t>
      </w:r>
      <w:r w:rsidR="00585E54">
        <w:rPr>
          <w:b/>
        </w:rPr>
        <w:t>E</w:t>
      </w:r>
      <w:r w:rsidRPr="000B1C3F">
        <w:rPr>
          <w:b/>
        </w:rPr>
        <w:t>ducation:</w:t>
      </w:r>
      <w:r>
        <w:t xml:space="preserve"> In-person</w:t>
      </w:r>
      <w:r w:rsidRPr="00FB6542">
        <w:t xml:space="preserve"> trainings for </w:t>
      </w:r>
      <w:r>
        <w:t>more than</w:t>
      </w:r>
      <w:r w:rsidRPr="00FB6542">
        <w:t xml:space="preserve"> 1,200 immunizing pharmacists </w:t>
      </w:r>
      <w:r>
        <w:t>are being conducted</w:t>
      </w:r>
      <w:r w:rsidRPr="00FB6542">
        <w:t xml:space="preserve"> </w:t>
      </w:r>
      <w:r>
        <w:t xml:space="preserve">in </w:t>
      </w:r>
      <w:r w:rsidRPr="00FB6542">
        <w:t>2018</w:t>
      </w:r>
      <w:r>
        <w:t xml:space="preserve"> </w:t>
      </w:r>
      <w:r w:rsidRPr="000D15C8">
        <w:t>to promote the adult standards for immunization practices, or CDC-recommended steps</w:t>
      </w:r>
      <w:r w:rsidR="00A45A21">
        <w:t>,</w:t>
      </w:r>
      <w:r w:rsidRPr="000D15C8">
        <w:t xml:space="preserve"> that providers can implement to ensure that adult and first responder patients get the vaccines they need. </w:t>
      </w:r>
      <w:r w:rsidR="00A45A21">
        <w:t>The p</w:t>
      </w:r>
      <w:r w:rsidRPr="000D15C8">
        <w:t>harmacists are educated to assess patients at every clinical encounter for immunization status, recommend vaccines, answer questions regarding the vaccines and diseases they prevent, administer appropriate vaccines or refer patients to a provider, and document doses administered in ImmTrac2.</w:t>
      </w:r>
      <w:r>
        <w:t xml:space="preserve"> </w:t>
      </w:r>
    </w:p>
    <w:p w14:paraId="01A9387A" w14:textId="77777777" w:rsidR="005C1948" w:rsidRPr="00BA08B9" w:rsidRDefault="005C1948" w:rsidP="00544488">
      <w:pPr>
        <w:pStyle w:val="ListBullet"/>
        <w:contextualSpacing w:val="0"/>
      </w:pPr>
      <w:r w:rsidRPr="000B1C3F">
        <w:rPr>
          <w:b/>
        </w:rPr>
        <w:t xml:space="preserve">Emergency </w:t>
      </w:r>
      <w:r w:rsidR="00585E54">
        <w:rPr>
          <w:b/>
        </w:rPr>
        <w:t>R</w:t>
      </w:r>
      <w:r w:rsidRPr="000B1C3F">
        <w:rPr>
          <w:b/>
        </w:rPr>
        <w:t xml:space="preserve">esponder </w:t>
      </w:r>
      <w:r w:rsidR="00585E54">
        <w:rPr>
          <w:b/>
        </w:rPr>
        <w:t>S</w:t>
      </w:r>
      <w:r w:rsidRPr="000B1C3F">
        <w:rPr>
          <w:b/>
        </w:rPr>
        <w:t>upport:</w:t>
      </w:r>
      <w:r>
        <w:t xml:space="preserve"> Through the </w:t>
      </w:r>
      <w:r w:rsidRPr="00D01198">
        <w:t xml:space="preserve">2017 </w:t>
      </w:r>
      <w:r w:rsidR="00E528DA">
        <w:t xml:space="preserve">CDC </w:t>
      </w:r>
      <w:r w:rsidRPr="00D01198">
        <w:t>Hurricane Recovery Crisis Coope</w:t>
      </w:r>
      <w:r>
        <w:t>rative Agreement</w:t>
      </w:r>
      <w:r w:rsidRPr="00D01198">
        <w:t xml:space="preserve">, </w:t>
      </w:r>
      <w:r>
        <w:t xml:space="preserve">DSHS plans to </w:t>
      </w:r>
      <w:r w:rsidRPr="00D01198">
        <w:t xml:space="preserve">collaborate with state, community, and local government partners to </w:t>
      </w:r>
      <w:r>
        <w:t xml:space="preserve">build </w:t>
      </w:r>
      <w:r w:rsidRPr="00D01198">
        <w:t>immunization capacity</w:t>
      </w:r>
      <w:r>
        <w:t xml:space="preserve"> at</w:t>
      </w:r>
      <w:r w:rsidRPr="00D01198">
        <w:t xml:space="preserve"> emergency responder facilities</w:t>
      </w:r>
      <w:r>
        <w:t xml:space="preserve"> and build vaccine storage capacity within local health departments.</w:t>
      </w:r>
    </w:p>
    <w:p w14:paraId="53E8561E" w14:textId="77777777" w:rsidR="000C6284" w:rsidRPr="00636588" w:rsidRDefault="000C6284" w:rsidP="00EF445D">
      <w:pPr>
        <w:pStyle w:val="Heading2"/>
      </w:pPr>
      <w:bookmarkStart w:id="21" w:name="_Toc522706958"/>
      <w:r>
        <w:lastRenderedPageBreak/>
        <w:t>Stakeholder Engagement</w:t>
      </w:r>
      <w:bookmarkEnd w:id="21"/>
    </w:p>
    <w:p w14:paraId="133CA6C7" w14:textId="77777777" w:rsidR="009F3C4A" w:rsidRDefault="009F3C4A" w:rsidP="009F3C4A">
      <w:pPr>
        <w:pStyle w:val="BodyText"/>
      </w:pPr>
      <w:r>
        <w:t>DSHS’s primary mechanism for engaging with immunization stakeholders is the Texas Immunization Stakeholder Working Group (TISWG)</w:t>
      </w:r>
      <w:r>
        <w:rPr>
          <w:rStyle w:val="FootnoteReference"/>
        </w:rPr>
        <w:footnoteReference w:id="11"/>
      </w:r>
      <w:r>
        <w:t xml:space="preserve">, which consists of more than a dozen members from across state health and human service agencies and </w:t>
      </w:r>
      <w:r w:rsidR="00532453">
        <w:t xml:space="preserve">professional </w:t>
      </w:r>
      <w:r>
        <w:t>healthcare associations. The DSHS-led working group brings all facets of the state’s immunization system together to discuss and identify needs and successes, enabling DSHS to overcome barriers and gaps in the immunization system.</w:t>
      </w:r>
    </w:p>
    <w:p w14:paraId="18D6D21F" w14:textId="220A5DB5" w:rsidR="009F3C4A" w:rsidRDefault="009F3C4A" w:rsidP="009F3C4A">
      <w:r>
        <w:t>Collaboration with The Immunization Partnership (TIP)</w:t>
      </w:r>
      <w:r>
        <w:rPr>
          <w:rStyle w:val="FootnoteReference"/>
        </w:rPr>
        <w:footnoteReference w:id="12"/>
      </w:r>
      <w:r>
        <w:t xml:space="preserve"> is another critical component for stakeholder engagement that allows for coalition</w:t>
      </w:r>
      <w:r w:rsidR="00932AEF">
        <w:t>-</w:t>
      </w:r>
      <w:r>
        <w:t xml:space="preserve">building and outreach. TIP helps raise awareness about </w:t>
      </w:r>
      <w:r w:rsidRPr="00FC21FD">
        <w:t>immunizations across the lifespan</w:t>
      </w:r>
      <w:r>
        <w:t>, encourages community resources that break down barriers to obtaining immunizations, promotes the use of ImmTrac2, engages immunization coalitions, and promotes immunization education to healthcare providers.</w:t>
      </w:r>
    </w:p>
    <w:p w14:paraId="0447C116" w14:textId="77777777" w:rsidR="009F3C4A" w:rsidRDefault="009F3C4A" w:rsidP="009F3C4A">
      <w:r>
        <w:t xml:space="preserve">Additionally, the DSHS-hosted </w:t>
      </w:r>
      <w:r w:rsidRPr="5DDCF1D8">
        <w:t>Texas Immunization Conference</w:t>
      </w:r>
      <w:r>
        <w:t xml:space="preserve"> is another </w:t>
      </w:r>
      <w:r w:rsidR="00DC0C6B">
        <w:t>important</w:t>
      </w:r>
      <w:r>
        <w:t xml:space="preserve"> opportunity for peer engagement and education. The biennial event brings together </w:t>
      </w:r>
      <w:r w:rsidRPr="5DDCF1D8">
        <w:t xml:space="preserve">stakeholders from public health departments, private providers, vaccine manufacturers, hospital staff, non-profits, and university researchers to present, discuss, and learn about best practices </w:t>
      </w:r>
      <w:r>
        <w:t>for</w:t>
      </w:r>
      <w:r w:rsidRPr="5DDCF1D8">
        <w:t xml:space="preserve"> improv</w:t>
      </w:r>
      <w:r>
        <w:t>ing</w:t>
      </w:r>
      <w:r w:rsidRPr="5DDCF1D8">
        <w:t xml:space="preserve"> immunization rates. </w:t>
      </w:r>
      <w:r>
        <w:t>The most recent conference took place in November 2017 in San Antonio, drawing a crowd of more than 600 attendees, speakers, exhibitors, and staff. The next conference is slated for 2019.</w:t>
      </w:r>
    </w:p>
    <w:p w14:paraId="4FC729F4" w14:textId="77777777" w:rsidR="00CC3FF6" w:rsidRPr="009C7D1E" w:rsidRDefault="00CC3FF6" w:rsidP="00EF445D">
      <w:pPr>
        <w:pStyle w:val="Heading1"/>
      </w:pPr>
      <w:bookmarkStart w:id="22" w:name="_Toc521067731"/>
      <w:bookmarkStart w:id="23" w:name="_Toc522706959"/>
      <w:bookmarkEnd w:id="22"/>
      <w:r w:rsidRPr="009C7D1E">
        <w:lastRenderedPageBreak/>
        <w:t>Contracts with Local Health Departments</w:t>
      </w:r>
      <w:bookmarkEnd w:id="23"/>
    </w:p>
    <w:p w14:paraId="26A161FD" w14:textId="0A4CEB1A" w:rsidR="00CC3FF6" w:rsidRDefault="00CC3FF6" w:rsidP="00CC3FF6">
      <w:r>
        <w:t xml:space="preserve">The statewide effort to increase vaccine coverage rates is reflected by state and federal funds allocated to </w:t>
      </w:r>
      <w:r w:rsidR="0082216F">
        <w:t xml:space="preserve">local health departments </w:t>
      </w:r>
      <w:r w:rsidR="00B86E0F">
        <w:t>(</w:t>
      </w:r>
      <w:r>
        <w:t>LHD</w:t>
      </w:r>
      <w:r w:rsidR="009001CB">
        <w:t>s</w:t>
      </w:r>
      <w:r w:rsidR="00B86E0F">
        <w:t>)</w:t>
      </w:r>
      <w:r>
        <w:t xml:space="preserve"> across Texas. For </w:t>
      </w:r>
      <w:r w:rsidR="00CA08AF">
        <w:t xml:space="preserve">fiscal year </w:t>
      </w:r>
      <w:r>
        <w:t xml:space="preserve">2018, </w:t>
      </w:r>
      <w:r w:rsidR="00B86E0F">
        <w:t>the Department of State Health Services (</w:t>
      </w:r>
      <w:r>
        <w:t>DSHS</w:t>
      </w:r>
      <w:r w:rsidR="00B86E0F">
        <w:t>)</w:t>
      </w:r>
      <w:r>
        <w:t xml:space="preserve"> has awarded $15.</w:t>
      </w:r>
      <w:r w:rsidR="00CF1138">
        <w:t>3</w:t>
      </w:r>
      <w:r>
        <w:t xml:space="preserve"> million in state general revenue and federal funds to 50 LHDs to provide essential immunization services. LHDs are required to implement the following activities to help increase immunization coverage levels:</w:t>
      </w:r>
    </w:p>
    <w:p w14:paraId="1838F36A" w14:textId="77777777" w:rsidR="00CC3FF6" w:rsidRPr="00932AEF" w:rsidRDefault="00CC3FF6" w:rsidP="00F33343">
      <w:pPr>
        <w:pStyle w:val="ListBullet"/>
        <w:contextualSpacing w:val="0"/>
      </w:pPr>
      <w:r>
        <w:t xml:space="preserve">Incorporate systematic approaches designed to eliminate barriers and expand immunization delivery, including partnerships, immunization information </w:t>
      </w:r>
      <w:r w:rsidRPr="00932AEF">
        <w:t>system (registry), reminder/recall, provider and public education, and the use of the medical home</w:t>
      </w:r>
    </w:p>
    <w:p w14:paraId="5BDEEE71" w14:textId="77777777" w:rsidR="00CC3FF6" w:rsidRDefault="00CC3FF6" w:rsidP="00F33343">
      <w:pPr>
        <w:pStyle w:val="ListBullet"/>
        <w:contextualSpacing w:val="0"/>
      </w:pPr>
      <w:r w:rsidRPr="00932AEF">
        <w:t>Establish and maintain</w:t>
      </w:r>
      <w:r>
        <w:t xml:space="preserve"> partnerships with community-based organizations and local human service agencies to promote best practices and activities that will increase vaccination coverage levels</w:t>
      </w:r>
    </w:p>
    <w:p w14:paraId="126E4317" w14:textId="77777777" w:rsidR="00CC3FF6" w:rsidRPr="00932AEF" w:rsidRDefault="00CC3FF6" w:rsidP="00F33343">
      <w:pPr>
        <w:pStyle w:val="ListBullet"/>
        <w:contextualSpacing w:val="0"/>
      </w:pPr>
      <w:r>
        <w:t xml:space="preserve">Implement an immunization program for children, adolescents, and adults, with special emphasis on accelerating interventions to improve vaccine coverage </w:t>
      </w:r>
      <w:r w:rsidRPr="00932AEF">
        <w:t>levels of children less than 36 months</w:t>
      </w:r>
    </w:p>
    <w:p w14:paraId="2B107B42" w14:textId="77777777" w:rsidR="00CC3FF6" w:rsidRPr="00932AEF" w:rsidRDefault="00CC3FF6" w:rsidP="00F33343">
      <w:pPr>
        <w:pStyle w:val="ListBullet"/>
        <w:contextualSpacing w:val="0"/>
      </w:pPr>
      <w:r w:rsidRPr="00932AEF">
        <w:t>Use practices that encourage parents to use the medical home for vaccinations</w:t>
      </w:r>
    </w:p>
    <w:p w14:paraId="32556BC5" w14:textId="77777777" w:rsidR="00CC3FF6" w:rsidRPr="00932AEF" w:rsidRDefault="00CC3FF6" w:rsidP="00F33343">
      <w:pPr>
        <w:pStyle w:val="ListBullet"/>
        <w:contextualSpacing w:val="0"/>
      </w:pPr>
      <w:r w:rsidRPr="00932AEF">
        <w:t>Inform and educate the public about vaccines and vaccine-preventable diseases</w:t>
      </w:r>
    </w:p>
    <w:p w14:paraId="12142169" w14:textId="57FFD176" w:rsidR="00CC3FF6" w:rsidRPr="00932AEF" w:rsidRDefault="00CC3FF6" w:rsidP="00F33343">
      <w:pPr>
        <w:pStyle w:val="ListBullet"/>
        <w:contextualSpacing w:val="0"/>
      </w:pPr>
      <w:r w:rsidRPr="00932AEF">
        <w:t xml:space="preserve">Recruit and enroll providers into the </w:t>
      </w:r>
      <w:r w:rsidR="00327220">
        <w:t>Texas Vaccines for Children (</w:t>
      </w:r>
      <w:r w:rsidRPr="00932AEF">
        <w:t>TVFC</w:t>
      </w:r>
      <w:r w:rsidR="00327220">
        <w:t>)</w:t>
      </w:r>
      <w:r w:rsidRPr="00932AEF">
        <w:t xml:space="preserve"> program and perform follow-up visits when deficiencies are identified by the quality assurance contractor</w:t>
      </w:r>
    </w:p>
    <w:p w14:paraId="29527F81" w14:textId="77777777" w:rsidR="00CC3FF6" w:rsidRPr="00932AEF" w:rsidRDefault="00CC3FF6" w:rsidP="00F33343">
      <w:pPr>
        <w:pStyle w:val="ListBullet"/>
        <w:contextualSpacing w:val="0"/>
      </w:pPr>
      <w:r w:rsidRPr="00932AEF">
        <w:t>Conduct immunization audits, assessments or surveys in child-care facilities, registered family homes, and schools</w:t>
      </w:r>
    </w:p>
    <w:p w14:paraId="5CF240D8" w14:textId="77777777" w:rsidR="00CC3FF6" w:rsidRPr="00932AEF" w:rsidRDefault="00CC3FF6" w:rsidP="00F33343">
      <w:pPr>
        <w:pStyle w:val="ListBullet"/>
        <w:contextualSpacing w:val="0"/>
      </w:pPr>
      <w:r w:rsidRPr="00932AEF">
        <w:t>Complete annual assessments in sub-contracted entities and clinics</w:t>
      </w:r>
    </w:p>
    <w:p w14:paraId="54AE7529" w14:textId="77777777" w:rsidR="00CC3FF6" w:rsidRPr="00932AEF" w:rsidRDefault="00CC3FF6" w:rsidP="00F33343">
      <w:pPr>
        <w:pStyle w:val="ListBullet"/>
        <w:contextualSpacing w:val="0"/>
      </w:pPr>
      <w:r w:rsidRPr="00932AEF">
        <w:t>Ensure a healthcare workforce that is knowledgeable about vaccines, vaccine-preventable diseases, and delivery of vaccination services</w:t>
      </w:r>
    </w:p>
    <w:p w14:paraId="43D185CE" w14:textId="77777777" w:rsidR="00CC3FF6" w:rsidRPr="00932AEF" w:rsidRDefault="00CC3FF6" w:rsidP="00F33343">
      <w:pPr>
        <w:pStyle w:val="ListBullet"/>
        <w:contextualSpacing w:val="0"/>
      </w:pPr>
      <w:r w:rsidRPr="00932AEF">
        <w:lastRenderedPageBreak/>
        <w:t>Promote use of ImmTrac2, the Texas Immunization Registry, in public clinics and private provider offices to increase the number of children, adolescents, and adults participating in the registry</w:t>
      </w:r>
    </w:p>
    <w:p w14:paraId="5806F67E" w14:textId="77777777" w:rsidR="00CC3FF6" w:rsidRPr="00932AEF" w:rsidRDefault="00CC3FF6" w:rsidP="00F33343">
      <w:pPr>
        <w:pStyle w:val="ListBullet"/>
        <w:contextualSpacing w:val="0"/>
      </w:pPr>
      <w:r w:rsidRPr="00932AEF">
        <w:t>Make use of</w:t>
      </w:r>
      <w:r>
        <w:t xml:space="preserve"> reminder/recall systems to notify parents or guardians of children younger th</w:t>
      </w:r>
      <w:r w:rsidRPr="00932AEF">
        <w:t>an 36 months when immunizations are due or past-due</w:t>
      </w:r>
    </w:p>
    <w:p w14:paraId="1E2B24A1" w14:textId="77777777" w:rsidR="00CC3FF6" w:rsidRPr="00932AEF" w:rsidRDefault="00CC3FF6" w:rsidP="00F33343">
      <w:pPr>
        <w:pStyle w:val="ListBullet"/>
        <w:contextualSpacing w:val="0"/>
      </w:pPr>
      <w:r w:rsidRPr="00932AEF">
        <w:t xml:space="preserve">Refer children to Medicaid and </w:t>
      </w:r>
      <w:r w:rsidR="00C933AE" w:rsidRPr="00932AEF">
        <w:t>Children’s Health Insurance Program (</w:t>
      </w:r>
      <w:r w:rsidRPr="00932AEF">
        <w:t>CHIP</w:t>
      </w:r>
      <w:r w:rsidR="00C933AE" w:rsidRPr="00932AEF">
        <w:t>)</w:t>
      </w:r>
      <w:r w:rsidRPr="00932AEF">
        <w:t xml:space="preserve"> and assist families to identify medical homes by providing necessary resources</w:t>
      </w:r>
    </w:p>
    <w:p w14:paraId="7828FAB1" w14:textId="77777777" w:rsidR="00CC3FF6" w:rsidRPr="00932AEF" w:rsidRDefault="00CC3FF6" w:rsidP="00F33343">
      <w:pPr>
        <w:pStyle w:val="ListBullet"/>
        <w:contextualSpacing w:val="0"/>
      </w:pPr>
      <w:r w:rsidRPr="00932AEF">
        <w:t>Report all vaccine adverse event occurrences in accordance with the National Childhood Vaccine Injury Act of 1986</w:t>
      </w:r>
    </w:p>
    <w:p w14:paraId="57266012" w14:textId="77777777" w:rsidR="00CC3FF6" w:rsidRPr="00932AEF" w:rsidRDefault="00CC3FF6" w:rsidP="00F33343">
      <w:pPr>
        <w:pStyle w:val="ListBullet"/>
        <w:contextualSpacing w:val="0"/>
      </w:pPr>
      <w:r w:rsidRPr="00932AEF">
        <w:t>Investigate all reported vaccine-preventable diseases</w:t>
      </w:r>
    </w:p>
    <w:p w14:paraId="76407178" w14:textId="77777777" w:rsidR="00CC3FF6" w:rsidRDefault="00CC3FF6" w:rsidP="00F33343">
      <w:pPr>
        <w:pStyle w:val="ListBullet"/>
        <w:contextualSpacing w:val="0"/>
      </w:pPr>
      <w:r w:rsidRPr="00932AEF">
        <w:t>Provide immunization services and ACIP-recommended vaccines in LHD clinics to children</w:t>
      </w:r>
      <w:r>
        <w:t>, adolescents, and adults to maximize vaccine coverage levels within each LHD’s jurisdiction</w:t>
      </w:r>
    </w:p>
    <w:p w14:paraId="214E0E1E" w14:textId="7EEDE2F5" w:rsidR="00CC3FF6" w:rsidRDefault="00CC3FF6" w:rsidP="00CC3FF6">
      <w:pPr>
        <w:pStyle w:val="BodyText"/>
      </w:pPr>
      <w:r w:rsidRPr="00E72A49">
        <w:t>To ensure that contracted LHDs use proven national strat</w:t>
      </w:r>
      <w:r>
        <w:t>egies, a standardized work plan</w:t>
      </w:r>
      <w:r w:rsidR="000314D5">
        <w:rPr>
          <w:rStyle w:val="FootnoteReference"/>
        </w:rPr>
        <w:footnoteReference w:id="13"/>
      </w:r>
      <w:r w:rsidRPr="00E72A49">
        <w:t xml:space="preserve"> </w:t>
      </w:r>
      <w:r w:rsidR="00D87D92">
        <w:t xml:space="preserve">with performance measures </w:t>
      </w:r>
      <w:r w:rsidRPr="00E72A49">
        <w:t>is in place. In addition, the LHDs are provided wi</w:t>
      </w:r>
      <w:r>
        <w:t>th a current contractor’s guide</w:t>
      </w:r>
      <w:r w:rsidR="000314D5">
        <w:rPr>
          <w:rStyle w:val="FootnoteReference"/>
        </w:rPr>
        <w:footnoteReference w:id="14"/>
      </w:r>
      <w:r w:rsidRPr="00E72A49">
        <w:t>, which explains the</w:t>
      </w:r>
      <w:r>
        <w:t xml:space="preserve"> requirements, and offers best practices to incorporate nationally proven strategies. DSHS provide</w:t>
      </w:r>
      <w:r w:rsidR="00F92DF8">
        <w:t>s</w:t>
      </w:r>
      <w:r>
        <w:t xml:space="preserve"> training to LHD staff on each of these contractual pieces. In areas of the state where no LHD exists, </w:t>
      </w:r>
      <w:r w:rsidR="000B0EAB">
        <w:t xml:space="preserve">DSHS </w:t>
      </w:r>
      <w:r>
        <w:t>perform</w:t>
      </w:r>
      <w:r w:rsidR="000B0EAB">
        <w:t>s</w:t>
      </w:r>
      <w:r>
        <w:t xml:space="preserve"> similar functions.</w:t>
      </w:r>
    </w:p>
    <w:p w14:paraId="4A8062C0" w14:textId="77777777" w:rsidR="00CC3FF6" w:rsidRPr="00E72A49" w:rsidRDefault="00CC3FF6" w:rsidP="00CC3FF6">
      <w:pPr>
        <w:pStyle w:val="BodyText"/>
      </w:pPr>
      <w:r>
        <w:t>Each LHD is on a monitoring schedule requiring an on-site evaluation by PHRs and contract management staff every two years. Findings from the on-site review prompt the creation of corrective action plans when necessary.</w:t>
      </w:r>
    </w:p>
    <w:p w14:paraId="3A592F06" w14:textId="77777777" w:rsidR="00566CF2" w:rsidRDefault="5DDCF1D8" w:rsidP="00F92DF8">
      <w:pPr>
        <w:pStyle w:val="Heading1"/>
      </w:pPr>
      <w:bookmarkStart w:id="24" w:name="_Toc522706960"/>
      <w:r>
        <w:lastRenderedPageBreak/>
        <w:t xml:space="preserve">Addressing </w:t>
      </w:r>
      <w:r w:rsidR="00B200A1">
        <w:t xml:space="preserve">the </w:t>
      </w:r>
      <w:r>
        <w:t>Needs of Underserved Areas</w:t>
      </w:r>
      <w:bookmarkEnd w:id="24"/>
    </w:p>
    <w:p w14:paraId="0A6DD9C4" w14:textId="6F87BF0A" w:rsidR="00566CF2" w:rsidRDefault="5DDCF1D8" w:rsidP="00566CF2">
      <w:r>
        <w:t>Children who are uninsured, underinsured, lack a medical home, live in rural areas</w:t>
      </w:r>
      <w:r w:rsidR="003201B3">
        <w:t>,</w:t>
      </w:r>
      <w:r>
        <w:t xml:space="preserve"> or on the Texas-Mexico border are traditionally</w:t>
      </w:r>
      <w:r w:rsidR="0030445D">
        <w:t xml:space="preserve"> medically</w:t>
      </w:r>
      <w:r>
        <w:t xml:space="preserve"> underserved. While </w:t>
      </w:r>
      <w:r w:rsidR="00755F10">
        <w:t>the Department of State Health Services (</w:t>
      </w:r>
      <w:r>
        <w:t>DSHS</w:t>
      </w:r>
      <w:r w:rsidR="00755F10">
        <w:t>)</w:t>
      </w:r>
      <w:r>
        <w:t xml:space="preserve"> programs emphasize the importance of a medical home, underserved areas often require additional services.</w:t>
      </w:r>
    </w:p>
    <w:p w14:paraId="3347ECDA" w14:textId="4CD9BD33" w:rsidR="00566CF2" w:rsidRDefault="00566CF2" w:rsidP="00566CF2">
      <w:r>
        <w:t xml:space="preserve">DSHS actively seeks to enroll federally qualified health centers (FQHCs) and rural health clinics </w:t>
      </w:r>
      <w:r w:rsidR="004F52EE">
        <w:t xml:space="preserve">(RHCs) </w:t>
      </w:r>
      <w:r>
        <w:t xml:space="preserve">as healthcare providers in the </w:t>
      </w:r>
      <w:r w:rsidR="00755F10">
        <w:t>Texas Vaccines for Children (</w:t>
      </w:r>
      <w:r>
        <w:t>TVFC</w:t>
      </w:r>
      <w:r w:rsidR="00755F10">
        <w:t>)</w:t>
      </w:r>
      <w:r>
        <w:t xml:space="preserve"> and </w:t>
      </w:r>
      <w:r w:rsidR="00755F10">
        <w:t>Adult Safety Net (</w:t>
      </w:r>
      <w:r>
        <w:t>ASN</w:t>
      </w:r>
      <w:r w:rsidR="00755F10">
        <w:t>)</w:t>
      </w:r>
      <w:r>
        <w:t xml:space="preserve"> programs. FQHCs and </w:t>
      </w:r>
      <w:r w:rsidR="004F52EE">
        <w:t>RHCs</w:t>
      </w:r>
      <w:r>
        <w:t xml:space="preserve"> mitigate barriers to medical care by offering immunization services outside of usual clinic hours and by using reminder/recall systems to notify families of due or past-due immunizations.</w:t>
      </w:r>
    </w:p>
    <w:p w14:paraId="695626F5" w14:textId="77777777" w:rsidR="00566CF2" w:rsidRDefault="5DDCF1D8" w:rsidP="00566CF2">
      <w:r>
        <w:t xml:space="preserve">Additionally, DSHS actively recruits providers in border counties. </w:t>
      </w:r>
      <w:r w:rsidR="00181F9E">
        <w:t>As of mid-2018</w:t>
      </w:r>
      <w:r>
        <w:t xml:space="preserve">, </w:t>
      </w:r>
      <w:r w:rsidR="00181F9E">
        <w:t xml:space="preserve">approximately </w:t>
      </w:r>
      <w:r>
        <w:t>487 private and public border-area cli</w:t>
      </w:r>
      <w:r w:rsidR="00181F9E">
        <w:t>nic sites are enrolled in TVFC, administering</w:t>
      </w:r>
      <w:r>
        <w:t xml:space="preserve"> approximately 1.5 million doses of vaccine each year.</w:t>
      </w:r>
    </w:p>
    <w:p w14:paraId="292174F3" w14:textId="20DBB1D2" w:rsidR="00B55F87" w:rsidRDefault="5DDCF1D8" w:rsidP="00566CF2">
      <w:r>
        <w:t xml:space="preserve">DSHS </w:t>
      </w:r>
      <w:r w:rsidR="006B5FBF">
        <w:t>maintains</w:t>
      </w:r>
      <w:r>
        <w:t xml:space="preserve"> long-standing relationships with public health agencies in border counties. Contracts provide funding to </w:t>
      </w:r>
      <w:r w:rsidR="00755F10">
        <w:t>local health departments (</w:t>
      </w:r>
      <w:r>
        <w:t>LHDs</w:t>
      </w:r>
      <w:r w:rsidR="00755F10">
        <w:t>)</w:t>
      </w:r>
      <w:r>
        <w:t xml:space="preserve"> to promote TVFC and ImmTrac2, administer vaccines, promote immunizations, conduct </w:t>
      </w:r>
      <w:r w:rsidR="000537D6">
        <w:t>vaccine-preventable disease</w:t>
      </w:r>
      <w:r>
        <w:t xml:space="preserve"> surveillance, assess vaccine coverage levels, and apply epidemiological principles for controlling outbreaks. In 2018, DSHS provided more than $2 million in state and federal funds to the following</w:t>
      </w:r>
      <w:r w:rsidR="007C7D4B">
        <w:t xml:space="preserve"> </w:t>
      </w:r>
      <w:r>
        <w:t>LHDs</w:t>
      </w:r>
      <w:r w:rsidR="00407B27">
        <w:t xml:space="preserve"> in medically underserved border regions</w:t>
      </w:r>
      <w:r>
        <w:t>:</w:t>
      </w:r>
    </w:p>
    <w:p w14:paraId="03904FFE" w14:textId="77777777" w:rsidR="00E72A49" w:rsidRDefault="5DDCF1D8" w:rsidP="007C7D4B">
      <w:pPr>
        <w:pStyle w:val="ListBullet"/>
      </w:pPr>
      <w:r>
        <w:t>City of El Paso Department of Public Health</w:t>
      </w:r>
    </w:p>
    <w:p w14:paraId="52598236" w14:textId="77777777" w:rsidR="00E72A49" w:rsidRDefault="5DDCF1D8" w:rsidP="007C7D4B">
      <w:pPr>
        <w:pStyle w:val="ListBullet"/>
      </w:pPr>
      <w:r>
        <w:t>City of Laredo Health Department</w:t>
      </w:r>
    </w:p>
    <w:p w14:paraId="4EE541A2" w14:textId="77777777" w:rsidR="00E72A49" w:rsidRDefault="5DDCF1D8" w:rsidP="007C7D4B">
      <w:pPr>
        <w:pStyle w:val="ListBullet"/>
      </w:pPr>
      <w:r>
        <w:t>Hidalgo County Health Department</w:t>
      </w:r>
    </w:p>
    <w:p w14:paraId="4C13D2E5" w14:textId="77777777" w:rsidR="00E72A49" w:rsidRDefault="5DDCF1D8" w:rsidP="007C7D4B">
      <w:pPr>
        <w:pStyle w:val="ListBullet"/>
      </w:pPr>
      <w:r>
        <w:t>Cameron County Department of Health and Human Services</w:t>
      </w:r>
    </w:p>
    <w:p w14:paraId="2F8E7C60" w14:textId="77777777" w:rsidR="00E72A49" w:rsidRPr="00E72A49" w:rsidRDefault="5DDCF1D8" w:rsidP="00E72A49">
      <w:pPr>
        <w:pStyle w:val="BodyText"/>
      </w:pPr>
      <w:r>
        <w:t>These LHDs implement immunization programs for children</w:t>
      </w:r>
      <w:r w:rsidR="000537D6">
        <w:t>,</w:t>
      </w:r>
      <w:r>
        <w:t xml:space="preserve"> adolescen</w:t>
      </w:r>
      <w:r w:rsidR="000537D6">
        <w:t xml:space="preserve">ts, and </w:t>
      </w:r>
      <w:r>
        <w:t xml:space="preserve">adults, </w:t>
      </w:r>
      <w:r w:rsidR="000537D6">
        <w:t>focusing</w:t>
      </w:r>
      <w:r>
        <w:t xml:space="preserve"> special </w:t>
      </w:r>
      <w:r w:rsidR="007A0572">
        <w:t xml:space="preserve">attention </w:t>
      </w:r>
      <w:r>
        <w:t xml:space="preserve">on children under </w:t>
      </w:r>
      <w:r w:rsidR="00C936CC">
        <w:t xml:space="preserve">age </w:t>
      </w:r>
      <w:r>
        <w:t>three</w:t>
      </w:r>
      <w:r w:rsidR="000537D6">
        <w:t>,</w:t>
      </w:r>
      <w:r>
        <w:t xml:space="preserve"> with the goals of eliminating barriers to immunizing children on schedule, expanding vaccine delivery, and establishing uniform immunization policies.</w:t>
      </w:r>
      <w:r w:rsidR="00E80C8E">
        <w:t xml:space="preserve"> </w:t>
      </w:r>
      <w:r w:rsidR="007A0572">
        <w:t>DSHS</w:t>
      </w:r>
      <w:r>
        <w:t xml:space="preserve"> also works with the Children’s Health Insurance Program (CHIP) to ensure that CHIP providers have access to low-cost vaccines. Through an interagency cooperative contract between the Texas Health and Human Services Commission (HHSC) and DSHS, children receive vaccines at a lower cost to taxpayers by taking advantage of federal vaccine contract prices.</w:t>
      </w:r>
    </w:p>
    <w:p w14:paraId="084638E8" w14:textId="77777777" w:rsidR="00E72A49" w:rsidRDefault="5DDCF1D8">
      <w:pPr>
        <w:pStyle w:val="Heading1"/>
      </w:pPr>
      <w:bookmarkStart w:id="25" w:name="_Toc522706961"/>
      <w:r>
        <w:lastRenderedPageBreak/>
        <w:t>Conscientious Exemptions</w:t>
      </w:r>
      <w:bookmarkEnd w:id="25"/>
    </w:p>
    <w:p w14:paraId="0901E172" w14:textId="5FF632AB" w:rsidR="00BF322C" w:rsidRDefault="00C97589" w:rsidP="00BF322C">
      <w:r>
        <w:t xml:space="preserve">Since 2003, </w:t>
      </w:r>
      <w:r w:rsidR="00BF322C">
        <w:t xml:space="preserve">Texas Health and Safety Code </w:t>
      </w:r>
      <w:hyperlink r:id="rId25" w:anchor="161.0041" w:history="1">
        <w:r w:rsidR="00B05010" w:rsidRPr="00B05010">
          <w:rPr>
            <w:rStyle w:val="Hyperlink"/>
            <w:rFonts w:cstheme="minorBidi"/>
          </w:rPr>
          <w:t>Section 161.0041</w:t>
        </w:r>
      </w:hyperlink>
      <w:r w:rsidR="00B05010">
        <w:t xml:space="preserve"> </w:t>
      </w:r>
      <w:r w:rsidR="006A7E40">
        <w:t xml:space="preserve">has </w:t>
      </w:r>
      <w:r w:rsidR="00B05010">
        <w:t>al</w:t>
      </w:r>
      <w:r>
        <w:t>lowed</w:t>
      </w:r>
      <w:r w:rsidR="00BF322C">
        <w:t xml:space="preserve"> an exemption from vaccine requirements for entry to a school or child-care facility due to reasons of conscience, including religious beliefs. The conscientious exemption process is as follows: </w:t>
      </w:r>
    </w:p>
    <w:p w14:paraId="283278A1" w14:textId="77777777" w:rsidR="00E72A49" w:rsidRPr="00932AEF" w:rsidRDefault="00BF322C" w:rsidP="00CE66E1">
      <w:pPr>
        <w:pStyle w:val="ListBullet"/>
        <w:contextualSpacing w:val="0"/>
      </w:pPr>
      <w:r>
        <w:t>P</w:t>
      </w:r>
      <w:r w:rsidR="001B104B">
        <w:t>arent</w:t>
      </w:r>
      <w:r>
        <w:t>s</w:t>
      </w:r>
      <w:r w:rsidR="001B104B">
        <w:t xml:space="preserve"> </w:t>
      </w:r>
      <w:r w:rsidR="001B104B" w:rsidRPr="00932AEF">
        <w:t>or guardian</w:t>
      </w:r>
      <w:r w:rsidRPr="00932AEF">
        <w:t>s</w:t>
      </w:r>
      <w:r w:rsidR="5DDCF1D8" w:rsidRPr="00932AEF">
        <w:t xml:space="preserve"> may request a conscientious exemption affidavit form in writing or </w:t>
      </w:r>
      <w:r w:rsidR="001B104B" w:rsidRPr="00932AEF">
        <w:t>through</w:t>
      </w:r>
      <w:r w:rsidR="5DDCF1D8" w:rsidRPr="00932AEF">
        <w:t xml:space="preserve"> the </w:t>
      </w:r>
      <w:r w:rsidRPr="00932AEF">
        <w:t>Department of State Health Services (</w:t>
      </w:r>
      <w:r w:rsidR="5DDCF1D8" w:rsidRPr="00932AEF">
        <w:t>DSHS</w:t>
      </w:r>
      <w:r w:rsidRPr="00932AEF">
        <w:t>)</w:t>
      </w:r>
      <w:r w:rsidR="5DDCF1D8" w:rsidRPr="00932AEF">
        <w:t xml:space="preserve"> website.</w:t>
      </w:r>
    </w:p>
    <w:p w14:paraId="334A8464" w14:textId="77777777" w:rsidR="00E72A49" w:rsidRPr="00932AEF" w:rsidRDefault="00BF322C" w:rsidP="00CE66E1">
      <w:pPr>
        <w:pStyle w:val="ListBullet"/>
        <w:contextualSpacing w:val="0"/>
      </w:pPr>
      <w:r w:rsidRPr="00932AEF">
        <w:t>P</w:t>
      </w:r>
      <w:r w:rsidR="001B104B" w:rsidRPr="00932AEF">
        <w:t>arent</w:t>
      </w:r>
      <w:r w:rsidRPr="00932AEF">
        <w:t>s</w:t>
      </w:r>
      <w:r w:rsidR="001B104B" w:rsidRPr="00932AEF">
        <w:t xml:space="preserve"> or guardian</w:t>
      </w:r>
      <w:r w:rsidRPr="00932AEF">
        <w:t>s</w:t>
      </w:r>
      <w:r w:rsidR="001B104B" w:rsidRPr="00932AEF">
        <w:t xml:space="preserve"> </w:t>
      </w:r>
      <w:r w:rsidR="5DDCF1D8" w:rsidRPr="00932AEF">
        <w:t>can request up to five conscientious exemption affidavit forms per child.</w:t>
      </w:r>
      <w:r w:rsidR="004C2200" w:rsidRPr="00932AEF">
        <w:t xml:space="preserve"> </w:t>
      </w:r>
    </w:p>
    <w:p w14:paraId="4CC5CA3E" w14:textId="0D796A5F" w:rsidR="00E72A49" w:rsidRPr="00932AEF" w:rsidRDefault="5DDCF1D8" w:rsidP="00CE66E1">
      <w:pPr>
        <w:pStyle w:val="ListBullet"/>
        <w:contextualSpacing w:val="0"/>
      </w:pPr>
      <w:r w:rsidRPr="00932AEF">
        <w:t xml:space="preserve">Once the request has been processed, DSHS returns the original request and the conscientious exemption affidavit forms to </w:t>
      </w:r>
      <w:r w:rsidR="004C2200" w:rsidRPr="00932AEF">
        <w:t>the parent</w:t>
      </w:r>
      <w:r w:rsidRPr="00932AEF">
        <w:t xml:space="preserve"> or guardian by mail.</w:t>
      </w:r>
    </w:p>
    <w:p w14:paraId="5AEC852A" w14:textId="77777777" w:rsidR="00E72A49" w:rsidRPr="00932AEF" w:rsidRDefault="5DDCF1D8" w:rsidP="00CE66E1">
      <w:pPr>
        <w:pStyle w:val="ListBullet"/>
        <w:contextualSpacing w:val="0"/>
      </w:pPr>
      <w:r w:rsidRPr="00932AEF">
        <w:t>After the original conscientious exemption affidavit form is signed and notarized, it must be submitted to the child’s school or child-care facility.</w:t>
      </w:r>
    </w:p>
    <w:p w14:paraId="3EBD7187" w14:textId="77777777" w:rsidR="00E72A49" w:rsidRDefault="5DDCF1D8" w:rsidP="00CE66E1">
      <w:pPr>
        <w:pStyle w:val="ListBullet"/>
        <w:contextualSpacing w:val="0"/>
      </w:pPr>
      <w:r w:rsidRPr="00932AEF">
        <w:t>Each individual</w:t>
      </w:r>
      <w:r>
        <w:t xml:space="preserve"> conscientious exemption affidavit is valid for two years from the date notarized.</w:t>
      </w:r>
    </w:p>
    <w:p w14:paraId="04B916A6" w14:textId="77777777" w:rsidR="003174CF" w:rsidRDefault="5DDCF1D8" w:rsidP="00ED7841">
      <w:pPr>
        <w:pStyle w:val="BodyText"/>
      </w:pPr>
      <w:r>
        <w:t xml:space="preserve">DSHS is required to </w:t>
      </w:r>
      <w:r w:rsidR="00BF322C">
        <w:t xml:space="preserve">annually </w:t>
      </w:r>
      <w:r>
        <w:t xml:space="preserve">report to the </w:t>
      </w:r>
      <w:r w:rsidR="00B95E7C">
        <w:t xml:space="preserve">Texas </w:t>
      </w:r>
      <w:r w:rsidR="00BF322C">
        <w:t>L</w:t>
      </w:r>
      <w:r>
        <w:t>egislature the number of requests for conscientious exemptions. DSHS gathers data by tracking the number of affidavit forms requested and the number of conscientious exemptions reported by schools</w:t>
      </w:r>
      <w:r w:rsidR="00261D56">
        <w:t>, and</w:t>
      </w:r>
      <w:r>
        <w:t xml:space="preserve"> monitors compliance with immunization requirements via the </w:t>
      </w:r>
      <w:r w:rsidRPr="5DDCF1D8">
        <w:rPr>
          <w:i/>
          <w:iCs/>
        </w:rPr>
        <w:t>Texas Annual Report of Immunization Status</w:t>
      </w:r>
      <w:r>
        <w:t xml:space="preserve">, as required by </w:t>
      </w:r>
      <w:r w:rsidR="004C2200">
        <w:t xml:space="preserve">Texas Education Code, </w:t>
      </w:r>
      <w:hyperlink r:id="rId26" w:history="1">
        <w:r w:rsidR="004C2200" w:rsidRPr="004C2200">
          <w:rPr>
            <w:rStyle w:val="Hyperlink"/>
            <w:rFonts w:cstheme="minorBidi"/>
          </w:rPr>
          <w:t>Section 38.002</w:t>
        </w:r>
      </w:hyperlink>
      <w:r>
        <w:t>. All accredited elementary and secondary schools in Texas, public and private, must submit an annual report of immunization status to DSHS.</w:t>
      </w:r>
      <w:r w:rsidR="00BF322C">
        <w:t xml:space="preserve"> </w:t>
      </w:r>
    </w:p>
    <w:p w14:paraId="4BA6802C" w14:textId="77777777" w:rsidR="00567DF8" w:rsidRDefault="5DDCF1D8" w:rsidP="00ED7841">
      <w:pPr>
        <w:pStyle w:val="BodyText"/>
        <w:rPr>
          <w:rStyle w:val="Strong"/>
        </w:rPr>
      </w:pPr>
      <w:r>
        <w:t xml:space="preserve">Data are self-reported and provide an aggregate number of conscientious exemptions. No reports of discrimination for </w:t>
      </w:r>
      <w:r w:rsidR="00C56C98">
        <w:t xml:space="preserve">using </w:t>
      </w:r>
      <w:r>
        <w:t xml:space="preserve">an exemption have been reported. </w:t>
      </w:r>
      <w:r w:rsidR="00B95E7C">
        <w:t>Table 3</w:t>
      </w:r>
      <w:r>
        <w:t xml:space="preserve"> below shows the number of affidavits mailed, the number of requests received, the number of individuals for whom forms were requested, and the number of meningococcal exemptions processed through the web portal for public junior and community college students. </w:t>
      </w:r>
    </w:p>
    <w:p w14:paraId="4D8FF5B8" w14:textId="4851E443" w:rsidR="007624A6" w:rsidRDefault="007624A6" w:rsidP="00ED7841">
      <w:pPr>
        <w:pStyle w:val="Caption"/>
      </w:pPr>
      <w:r>
        <w:lastRenderedPageBreak/>
        <w:t xml:space="preserve">Table </w:t>
      </w:r>
      <w:r w:rsidR="008E3A1A">
        <w:rPr>
          <w:noProof/>
        </w:rPr>
        <w:fldChar w:fldCharType="begin"/>
      </w:r>
      <w:r w:rsidR="008E3A1A">
        <w:rPr>
          <w:noProof/>
        </w:rPr>
        <w:instrText xml:space="preserve"> SEQ Table \* ARABIC </w:instrText>
      </w:r>
      <w:r w:rsidR="008E3A1A">
        <w:rPr>
          <w:noProof/>
        </w:rPr>
        <w:fldChar w:fldCharType="separate"/>
      </w:r>
      <w:r w:rsidR="0057330E">
        <w:rPr>
          <w:noProof/>
        </w:rPr>
        <w:t>3</w:t>
      </w:r>
      <w:r w:rsidR="008E3A1A">
        <w:rPr>
          <w:noProof/>
        </w:rPr>
        <w:fldChar w:fldCharType="end"/>
      </w:r>
      <w:r>
        <w:t>.</w:t>
      </w:r>
      <w:r>
        <w:rPr>
          <w:noProof/>
        </w:rPr>
        <w:t xml:space="preserve"> </w:t>
      </w:r>
      <w:r w:rsidRPr="00231A72">
        <w:rPr>
          <w:noProof/>
        </w:rPr>
        <w:t>Data on Requests Received for Conscientious Exemptions</w:t>
      </w:r>
      <w:r w:rsidR="00A02B50">
        <w:rPr>
          <w:noProof/>
        </w:rPr>
        <w:t>, Fiscal Year</w:t>
      </w:r>
      <w:r w:rsidR="00881553">
        <w:rPr>
          <w:noProof/>
        </w:rPr>
        <w:t xml:space="preserve"> </w:t>
      </w:r>
      <w:r w:rsidR="00A02B50">
        <w:rPr>
          <w:noProof/>
        </w:rPr>
        <w:t>2014</w:t>
      </w:r>
      <w:r w:rsidR="00F11B74">
        <w:rPr>
          <w:noProof/>
        </w:rPr>
        <w:t xml:space="preserve"> </w:t>
      </w:r>
      <w:r w:rsidR="00A02B50">
        <w:rPr>
          <w:noProof/>
        </w:rPr>
        <w:t>– Fiscal Year 2018.</w:t>
      </w:r>
      <w:r w:rsidR="00A02B50">
        <w:rPr>
          <w:rStyle w:val="FootnoteReference"/>
          <w:noProof/>
        </w:rPr>
        <w:footnoteReference w:id="15"/>
      </w:r>
    </w:p>
    <w:tbl>
      <w:tblPr>
        <w:tblStyle w:val="HHSTableforTextData"/>
        <w:tblW w:w="0" w:type="auto"/>
        <w:tblLayout w:type="fixed"/>
        <w:tblLook w:val="04A0" w:firstRow="1" w:lastRow="0" w:firstColumn="1" w:lastColumn="0" w:noHBand="0" w:noVBand="1"/>
        <w:tblCaption w:val="Table 3. Data on Requests Received for Conscientious Exemptions"/>
        <w:tblDescription w:val="Table 3. Data on Requests Received for Conscientious Exemptions"/>
      </w:tblPr>
      <w:tblGrid>
        <w:gridCol w:w="3060"/>
        <w:gridCol w:w="1260"/>
        <w:gridCol w:w="1260"/>
        <w:gridCol w:w="1260"/>
        <w:gridCol w:w="1260"/>
        <w:gridCol w:w="1260"/>
      </w:tblGrid>
      <w:tr w:rsidR="00154DCF" w:rsidRPr="00ED7841" w14:paraId="160E40B8" w14:textId="77777777" w:rsidTr="0059501A">
        <w:trPr>
          <w:cnfStyle w:val="100000000000" w:firstRow="1" w:lastRow="0" w:firstColumn="0" w:lastColumn="0" w:oddVBand="0" w:evenVBand="0" w:oddHBand="0" w:evenHBand="0" w:firstRowFirstColumn="0" w:firstRowLastColumn="0" w:lastRowFirstColumn="0" w:lastRowLastColumn="0"/>
          <w:trHeight w:val="475"/>
        </w:trPr>
        <w:tc>
          <w:tcPr>
            <w:tcW w:w="3060" w:type="dxa"/>
            <w:tcMar>
              <w:top w:w="115" w:type="dxa"/>
              <w:left w:w="202" w:type="dxa"/>
              <w:bottom w:w="115" w:type="dxa"/>
              <w:right w:w="202" w:type="dxa"/>
            </w:tcMar>
            <w:vAlign w:val="bottom"/>
          </w:tcPr>
          <w:p w14:paraId="26D2769A" w14:textId="77777777" w:rsidR="00B87979" w:rsidRPr="00BF322C" w:rsidRDefault="5DDCF1D8" w:rsidP="006E14EA">
            <w:pPr>
              <w:pStyle w:val="BodyText"/>
              <w:spacing w:before="0"/>
            </w:pPr>
            <w:r w:rsidRPr="00BF322C">
              <w:t>Data Collected</w:t>
            </w:r>
          </w:p>
        </w:tc>
        <w:tc>
          <w:tcPr>
            <w:tcW w:w="0" w:type="dxa"/>
            <w:tcMar>
              <w:top w:w="115" w:type="dxa"/>
              <w:left w:w="202" w:type="dxa"/>
              <w:bottom w:w="115" w:type="dxa"/>
              <w:right w:w="202" w:type="dxa"/>
            </w:tcMar>
            <w:vAlign w:val="bottom"/>
          </w:tcPr>
          <w:p w14:paraId="731CB4DA" w14:textId="77777777" w:rsidR="00B87979" w:rsidRPr="00BF322C" w:rsidRDefault="5DDCF1D8" w:rsidP="006E14EA">
            <w:pPr>
              <w:pStyle w:val="paragraph"/>
              <w:spacing w:before="0" w:beforeAutospacing="0" w:after="0" w:afterAutospacing="0"/>
              <w:textAlignment w:val="baseline"/>
              <w:divId w:val="822819494"/>
              <w:rPr>
                <w:rFonts w:asciiTheme="minorHAnsi" w:hAnsiTheme="minorHAnsi"/>
                <w:sz w:val="20"/>
                <w:szCs w:val="20"/>
              </w:rPr>
            </w:pPr>
            <w:r w:rsidRPr="00ED7841">
              <w:rPr>
                <w:rStyle w:val="normaltextrun"/>
                <w:rFonts w:asciiTheme="minorHAnsi" w:eastAsia="Rockwell" w:hAnsiTheme="minorHAnsi" w:cs="Rockwell"/>
                <w:bCs/>
                <w:sz w:val="20"/>
                <w:szCs w:val="20"/>
              </w:rPr>
              <w:t>F</w:t>
            </w:r>
            <w:r w:rsidR="00D316AB">
              <w:rPr>
                <w:rStyle w:val="normaltextrun"/>
                <w:rFonts w:asciiTheme="minorHAnsi" w:eastAsia="Rockwell" w:hAnsiTheme="minorHAnsi" w:cs="Rockwell"/>
                <w:bCs/>
                <w:sz w:val="20"/>
                <w:szCs w:val="20"/>
              </w:rPr>
              <w:t xml:space="preserve">iscal </w:t>
            </w:r>
            <w:r w:rsidRPr="00ED7841">
              <w:rPr>
                <w:rStyle w:val="normaltextrun"/>
                <w:rFonts w:asciiTheme="minorHAnsi" w:eastAsia="Rockwell" w:hAnsiTheme="minorHAnsi" w:cs="Rockwell"/>
                <w:bCs/>
                <w:sz w:val="20"/>
                <w:szCs w:val="20"/>
              </w:rPr>
              <w:t>Y</w:t>
            </w:r>
            <w:r w:rsidR="00D316AB">
              <w:rPr>
                <w:rStyle w:val="normaltextrun"/>
                <w:rFonts w:asciiTheme="minorHAnsi" w:eastAsia="Rockwell" w:hAnsiTheme="minorHAnsi" w:cs="Rockwell"/>
                <w:bCs/>
                <w:sz w:val="20"/>
                <w:szCs w:val="20"/>
              </w:rPr>
              <w:t>ear</w:t>
            </w:r>
            <w:r w:rsidRPr="00ED7841">
              <w:rPr>
                <w:rStyle w:val="normaltextrun"/>
                <w:rFonts w:asciiTheme="minorHAnsi" w:eastAsia="Rockwell" w:hAnsiTheme="minorHAnsi" w:cs="Rockwell"/>
                <w:bCs/>
                <w:sz w:val="20"/>
                <w:szCs w:val="20"/>
              </w:rPr>
              <w:t> </w:t>
            </w:r>
            <w:r w:rsidR="00D316AB">
              <w:rPr>
                <w:rStyle w:val="normaltextrun"/>
                <w:rFonts w:asciiTheme="minorHAnsi" w:eastAsia="Rockwell" w:hAnsiTheme="minorHAnsi" w:cs="Rockwell"/>
                <w:bCs/>
                <w:sz w:val="20"/>
                <w:szCs w:val="20"/>
              </w:rPr>
              <w:br/>
            </w:r>
            <w:r w:rsidRPr="00ED7841">
              <w:rPr>
                <w:rStyle w:val="normaltextrun"/>
                <w:rFonts w:asciiTheme="minorHAnsi" w:eastAsia="Rockwell" w:hAnsiTheme="minorHAnsi" w:cs="Rockwell"/>
                <w:bCs/>
                <w:sz w:val="20"/>
                <w:szCs w:val="20"/>
              </w:rPr>
              <w:t>2014</w:t>
            </w:r>
          </w:p>
        </w:tc>
        <w:tc>
          <w:tcPr>
            <w:tcW w:w="1260" w:type="dxa"/>
            <w:tcMar>
              <w:top w:w="115" w:type="dxa"/>
              <w:left w:w="202" w:type="dxa"/>
              <w:bottom w:w="115" w:type="dxa"/>
              <w:right w:w="202" w:type="dxa"/>
            </w:tcMar>
            <w:vAlign w:val="bottom"/>
          </w:tcPr>
          <w:p w14:paraId="2F531744" w14:textId="0B461861" w:rsidR="00B87979" w:rsidRPr="00BF322C" w:rsidRDefault="00D316AB" w:rsidP="006E14EA">
            <w:pPr>
              <w:pStyle w:val="paragraph"/>
              <w:spacing w:before="0" w:beforeAutospacing="0" w:after="0" w:afterAutospacing="0"/>
              <w:textAlignment w:val="baseline"/>
              <w:divId w:val="1915318516"/>
            </w:pPr>
            <w:r w:rsidRPr="00ED7841">
              <w:rPr>
                <w:rStyle w:val="normaltextrun"/>
                <w:rFonts w:asciiTheme="minorHAnsi" w:eastAsia="Rockwell" w:hAnsiTheme="minorHAnsi" w:cs="Rockwell"/>
                <w:bCs/>
                <w:sz w:val="20"/>
                <w:szCs w:val="20"/>
              </w:rPr>
              <w:t>F</w:t>
            </w:r>
            <w:r>
              <w:rPr>
                <w:rStyle w:val="normaltextrun"/>
                <w:rFonts w:asciiTheme="minorHAnsi" w:eastAsia="Rockwell" w:hAnsiTheme="minorHAnsi" w:cs="Rockwell"/>
                <w:bCs/>
                <w:sz w:val="20"/>
                <w:szCs w:val="20"/>
              </w:rPr>
              <w:t xml:space="preserve">iscal </w:t>
            </w:r>
            <w:r w:rsidR="5DDCF1D8" w:rsidRPr="00ED7841">
              <w:rPr>
                <w:rStyle w:val="normaltextrun"/>
                <w:rFonts w:asciiTheme="minorHAnsi" w:eastAsia="Rockwell" w:hAnsiTheme="minorHAnsi" w:cs="Rockwell"/>
                <w:bCs/>
                <w:sz w:val="20"/>
                <w:szCs w:val="20"/>
              </w:rPr>
              <w:t>Y</w:t>
            </w:r>
            <w:r>
              <w:rPr>
                <w:rStyle w:val="normaltextrun"/>
                <w:rFonts w:asciiTheme="minorHAnsi" w:eastAsia="Rockwell" w:hAnsiTheme="minorHAnsi" w:cs="Rockwell"/>
                <w:bCs/>
                <w:sz w:val="20"/>
                <w:szCs w:val="20"/>
              </w:rPr>
              <w:t>ear</w:t>
            </w:r>
            <w:r w:rsidR="5DDCF1D8" w:rsidRPr="00ED7841">
              <w:rPr>
                <w:rStyle w:val="normaltextrun"/>
                <w:rFonts w:asciiTheme="minorHAnsi" w:eastAsia="Rockwell" w:hAnsiTheme="minorHAnsi" w:cs="Rockwell"/>
                <w:bCs/>
                <w:sz w:val="20"/>
                <w:szCs w:val="20"/>
              </w:rPr>
              <w:t> </w:t>
            </w:r>
            <w:r>
              <w:rPr>
                <w:rStyle w:val="normaltextrun"/>
                <w:rFonts w:asciiTheme="minorHAnsi" w:eastAsia="Rockwell" w:hAnsiTheme="minorHAnsi" w:cs="Rockwell"/>
                <w:bCs/>
                <w:sz w:val="20"/>
                <w:szCs w:val="20"/>
              </w:rPr>
              <w:br/>
            </w:r>
            <w:r w:rsidR="5DDCF1D8" w:rsidRPr="00ED7841">
              <w:rPr>
                <w:rStyle w:val="normaltextrun"/>
                <w:rFonts w:asciiTheme="minorHAnsi" w:eastAsia="Rockwell" w:hAnsiTheme="minorHAnsi" w:cs="Rockwell"/>
                <w:bCs/>
                <w:sz w:val="20"/>
                <w:szCs w:val="20"/>
              </w:rPr>
              <w:t>2015</w:t>
            </w:r>
          </w:p>
        </w:tc>
        <w:tc>
          <w:tcPr>
            <w:tcW w:w="0" w:type="dxa"/>
            <w:tcMar>
              <w:top w:w="115" w:type="dxa"/>
              <w:left w:w="202" w:type="dxa"/>
              <w:bottom w:w="115" w:type="dxa"/>
              <w:right w:w="202" w:type="dxa"/>
            </w:tcMar>
            <w:vAlign w:val="bottom"/>
          </w:tcPr>
          <w:p w14:paraId="21B06026" w14:textId="77777777" w:rsidR="00B87979" w:rsidRPr="00BF322C" w:rsidRDefault="5DDCF1D8" w:rsidP="006E14EA">
            <w:pPr>
              <w:pStyle w:val="paragraph"/>
              <w:spacing w:before="0" w:beforeAutospacing="0" w:after="0" w:afterAutospacing="0"/>
              <w:textAlignment w:val="baseline"/>
              <w:divId w:val="1450474129"/>
            </w:pPr>
            <w:r w:rsidRPr="00ED7841">
              <w:rPr>
                <w:rStyle w:val="normaltextrun"/>
                <w:rFonts w:asciiTheme="minorHAnsi" w:eastAsia="Rockwell" w:hAnsiTheme="minorHAnsi" w:cs="Rockwell"/>
                <w:bCs/>
                <w:sz w:val="20"/>
                <w:szCs w:val="20"/>
              </w:rPr>
              <w:t>F</w:t>
            </w:r>
            <w:r w:rsidR="00D316AB">
              <w:rPr>
                <w:rStyle w:val="normaltextrun"/>
                <w:rFonts w:asciiTheme="minorHAnsi" w:eastAsia="Rockwell" w:hAnsiTheme="minorHAnsi" w:cs="Rockwell"/>
                <w:bCs/>
                <w:sz w:val="20"/>
                <w:szCs w:val="20"/>
              </w:rPr>
              <w:t xml:space="preserve">iscal </w:t>
            </w:r>
            <w:r w:rsidRPr="00ED7841">
              <w:rPr>
                <w:rStyle w:val="normaltextrun"/>
                <w:rFonts w:asciiTheme="minorHAnsi" w:eastAsia="Rockwell" w:hAnsiTheme="minorHAnsi" w:cs="Rockwell"/>
                <w:bCs/>
                <w:sz w:val="20"/>
                <w:szCs w:val="20"/>
              </w:rPr>
              <w:t>Y</w:t>
            </w:r>
            <w:r w:rsidR="00D316AB">
              <w:rPr>
                <w:rStyle w:val="normaltextrun"/>
                <w:rFonts w:asciiTheme="minorHAnsi" w:eastAsia="Rockwell" w:hAnsiTheme="minorHAnsi" w:cs="Rockwell"/>
                <w:bCs/>
                <w:sz w:val="20"/>
                <w:szCs w:val="20"/>
              </w:rPr>
              <w:t>ear</w:t>
            </w:r>
            <w:r w:rsidRPr="00ED7841">
              <w:rPr>
                <w:rStyle w:val="normaltextrun"/>
                <w:rFonts w:asciiTheme="minorHAnsi" w:eastAsia="Rockwell" w:hAnsiTheme="minorHAnsi" w:cs="Rockwell"/>
                <w:bCs/>
                <w:sz w:val="20"/>
                <w:szCs w:val="20"/>
              </w:rPr>
              <w:t> </w:t>
            </w:r>
            <w:r w:rsidR="00D316AB">
              <w:rPr>
                <w:rStyle w:val="normaltextrun"/>
                <w:rFonts w:asciiTheme="minorHAnsi" w:eastAsia="Rockwell" w:hAnsiTheme="minorHAnsi" w:cs="Rockwell"/>
                <w:bCs/>
                <w:sz w:val="20"/>
                <w:szCs w:val="20"/>
              </w:rPr>
              <w:br/>
            </w:r>
            <w:r w:rsidRPr="00ED7841">
              <w:rPr>
                <w:rStyle w:val="normaltextrun"/>
                <w:rFonts w:asciiTheme="minorHAnsi" w:eastAsia="Rockwell" w:hAnsiTheme="minorHAnsi" w:cs="Rockwell"/>
                <w:bCs/>
                <w:sz w:val="20"/>
                <w:szCs w:val="20"/>
              </w:rPr>
              <w:t>2016</w:t>
            </w:r>
          </w:p>
        </w:tc>
        <w:tc>
          <w:tcPr>
            <w:tcW w:w="0" w:type="dxa"/>
            <w:tcMar>
              <w:top w:w="115" w:type="dxa"/>
              <w:left w:w="202" w:type="dxa"/>
              <w:bottom w:w="115" w:type="dxa"/>
              <w:right w:w="202" w:type="dxa"/>
            </w:tcMar>
            <w:vAlign w:val="bottom"/>
          </w:tcPr>
          <w:p w14:paraId="0665607C" w14:textId="77777777" w:rsidR="00B87979" w:rsidRPr="00ED7841" w:rsidRDefault="5DDCF1D8" w:rsidP="006E14EA">
            <w:pPr>
              <w:pStyle w:val="paragraph"/>
              <w:spacing w:before="0" w:beforeAutospacing="0" w:after="0" w:afterAutospacing="0"/>
              <w:textAlignment w:val="baseline"/>
              <w:divId w:val="848180121"/>
              <w:rPr>
                <w:bCs/>
              </w:rPr>
            </w:pPr>
            <w:r w:rsidRPr="00ED7841">
              <w:rPr>
                <w:rStyle w:val="normaltextrun"/>
                <w:rFonts w:asciiTheme="minorHAnsi" w:eastAsia="Rockwell" w:hAnsiTheme="minorHAnsi" w:cs="Rockwell"/>
                <w:bCs/>
                <w:sz w:val="20"/>
                <w:szCs w:val="20"/>
              </w:rPr>
              <w:t>F</w:t>
            </w:r>
            <w:r w:rsidR="00D316AB">
              <w:rPr>
                <w:rStyle w:val="normaltextrun"/>
                <w:rFonts w:asciiTheme="minorHAnsi" w:eastAsia="Rockwell" w:hAnsiTheme="minorHAnsi" w:cs="Rockwell"/>
                <w:bCs/>
                <w:sz w:val="20"/>
                <w:szCs w:val="20"/>
              </w:rPr>
              <w:t xml:space="preserve">iscal </w:t>
            </w:r>
            <w:r w:rsidRPr="00ED7841">
              <w:rPr>
                <w:rStyle w:val="normaltextrun"/>
                <w:rFonts w:asciiTheme="minorHAnsi" w:eastAsia="Rockwell" w:hAnsiTheme="minorHAnsi" w:cs="Rockwell"/>
                <w:bCs/>
                <w:sz w:val="20"/>
                <w:szCs w:val="20"/>
              </w:rPr>
              <w:t>Y</w:t>
            </w:r>
            <w:r w:rsidR="00D316AB">
              <w:rPr>
                <w:rStyle w:val="normaltextrun"/>
                <w:rFonts w:asciiTheme="minorHAnsi" w:eastAsia="Rockwell" w:hAnsiTheme="minorHAnsi" w:cs="Rockwell"/>
                <w:bCs/>
                <w:sz w:val="20"/>
                <w:szCs w:val="20"/>
              </w:rPr>
              <w:t>ear</w:t>
            </w:r>
            <w:r w:rsidRPr="00ED7841">
              <w:rPr>
                <w:rStyle w:val="normaltextrun"/>
                <w:rFonts w:asciiTheme="minorHAnsi" w:eastAsia="Rockwell" w:hAnsiTheme="minorHAnsi" w:cs="Rockwell"/>
                <w:bCs/>
                <w:sz w:val="20"/>
                <w:szCs w:val="20"/>
              </w:rPr>
              <w:t> </w:t>
            </w:r>
            <w:r w:rsidR="00D316AB">
              <w:rPr>
                <w:rStyle w:val="normaltextrun"/>
                <w:rFonts w:asciiTheme="minorHAnsi" w:eastAsia="Rockwell" w:hAnsiTheme="minorHAnsi" w:cs="Rockwell"/>
                <w:bCs/>
                <w:sz w:val="20"/>
                <w:szCs w:val="20"/>
              </w:rPr>
              <w:br/>
            </w:r>
            <w:r w:rsidRPr="00ED7841">
              <w:rPr>
                <w:rStyle w:val="normaltextrun"/>
                <w:rFonts w:asciiTheme="minorHAnsi" w:eastAsia="Rockwell" w:hAnsiTheme="minorHAnsi" w:cs="Rockwell"/>
                <w:bCs/>
                <w:sz w:val="20"/>
                <w:szCs w:val="20"/>
              </w:rPr>
              <w:t>2017</w:t>
            </w:r>
          </w:p>
        </w:tc>
        <w:tc>
          <w:tcPr>
            <w:tcW w:w="0" w:type="dxa"/>
            <w:tcMar>
              <w:top w:w="115" w:type="dxa"/>
              <w:left w:w="202" w:type="dxa"/>
              <w:bottom w:w="115" w:type="dxa"/>
              <w:right w:w="202" w:type="dxa"/>
            </w:tcMar>
            <w:vAlign w:val="bottom"/>
          </w:tcPr>
          <w:p w14:paraId="7A357A0C" w14:textId="77777777" w:rsidR="000B0EAB" w:rsidRDefault="5DDCF1D8" w:rsidP="006E14EA">
            <w:pPr>
              <w:pStyle w:val="paragraph"/>
              <w:spacing w:before="0" w:beforeAutospacing="0" w:after="0" w:afterAutospacing="0"/>
              <w:textAlignment w:val="baseline"/>
              <w:divId w:val="155725526"/>
              <w:rPr>
                <w:rStyle w:val="normaltextrun"/>
                <w:rFonts w:asciiTheme="minorHAnsi" w:eastAsia="Rockwell" w:hAnsiTheme="minorHAnsi" w:cs="Rockwell"/>
                <w:bCs/>
                <w:sz w:val="20"/>
                <w:szCs w:val="20"/>
              </w:rPr>
            </w:pPr>
            <w:r w:rsidRPr="00ED7841">
              <w:rPr>
                <w:rStyle w:val="normaltextrun"/>
                <w:rFonts w:asciiTheme="minorHAnsi" w:eastAsia="Rockwell" w:hAnsiTheme="minorHAnsi" w:cs="Rockwell"/>
                <w:bCs/>
                <w:sz w:val="20"/>
                <w:szCs w:val="20"/>
              </w:rPr>
              <w:t>F</w:t>
            </w:r>
            <w:r w:rsidR="000B0EAB">
              <w:rPr>
                <w:rStyle w:val="normaltextrun"/>
                <w:rFonts w:asciiTheme="minorHAnsi" w:eastAsia="Rockwell" w:hAnsiTheme="minorHAnsi" w:cs="Rockwell"/>
                <w:bCs/>
                <w:sz w:val="20"/>
                <w:szCs w:val="20"/>
              </w:rPr>
              <w:t>iscal</w:t>
            </w:r>
          </w:p>
          <w:p w14:paraId="74D2BF23" w14:textId="77777777" w:rsidR="000B0EAB" w:rsidRDefault="5DDCF1D8" w:rsidP="006E14EA">
            <w:pPr>
              <w:pStyle w:val="paragraph"/>
              <w:spacing w:before="0" w:beforeAutospacing="0" w:after="0" w:afterAutospacing="0"/>
              <w:textAlignment w:val="baseline"/>
              <w:divId w:val="155725526"/>
              <w:rPr>
                <w:rStyle w:val="normaltextrun"/>
                <w:rFonts w:asciiTheme="minorHAnsi" w:eastAsia="Rockwell" w:hAnsiTheme="minorHAnsi" w:cs="Rockwell"/>
                <w:bCs/>
                <w:sz w:val="20"/>
                <w:szCs w:val="20"/>
              </w:rPr>
            </w:pPr>
            <w:r w:rsidRPr="00ED7841">
              <w:rPr>
                <w:rStyle w:val="normaltextrun"/>
                <w:rFonts w:asciiTheme="minorHAnsi" w:eastAsia="Rockwell" w:hAnsiTheme="minorHAnsi" w:cs="Rockwell"/>
                <w:bCs/>
                <w:sz w:val="20"/>
                <w:szCs w:val="20"/>
              </w:rPr>
              <w:t>Y</w:t>
            </w:r>
            <w:r w:rsidR="00D316AB">
              <w:rPr>
                <w:rStyle w:val="normaltextrun"/>
                <w:rFonts w:asciiTheme="minorHAnsi" w:eastAsia="Rockwell" w:hAnsiTheme="minorHAnsi" w:cs="Rockwell"/>
                <w:bCs/>
                <w:sz w:val="20"/>
                <w:szCs w:val="20"/>
              </w:rPr>
              <w:t>ear</w:t>
            </w:r>
          </w:p>
          <w:p w14:paraId="7A331DE1" w14:textId="1983EAC8" w:rsidR="00B87979" w:rsidRPr="00ED7841" w:rsidRDefault="5DDCF1D8" w:rsidP="006E14EA">
            <w:pPr>
              <w:pStyle w:val="paragraph"/>
              <w:spacing w:before="0" w:beforeAutospacing="0" w:after="0" w:afterAutospacing="0"/>
              <w:textAlignment w:val="baseline"/>
              <w:divId w:val="155725526"/>
              <w:rPr>
                <w:bCs/>
              </w:rPr>
            </w:pPr>
            <w:r w:rsidRPr="00ED7841">
              <w:rPr>
                <w:rStyle w:val="normaltextrun"/>
                <w:rFonts w:asciiTheme="minorHAnsi" w:eastAsia="Rockwell" w:hAnsiTheme="minorHAnsi" w:cs="Rockwell"/>
                <w:bCs/>
                <w:sz w:val="20"/>
                <w:szCs w:val="20"/>
              </w:rPr>
              <w:t>2018</w:t>
            </w:r>
          </w:p>
        </w:tc>
      </w:tr>
      <w:tr w:rsidR="00154DCF" w:rsidRPr="00ED7841" w14:paraId="3F79B947" w14:textId="77777777" w:rsidTr="00154DCF">
        <w:trPr>
          <w:trHeight w:val="477"/>
        </w:trPr>
        <w:tc>
          <w:tcPr>
            <w:tcW w:w="3060" w:type="dxa"/>
            <w:tcMar>
              <w:top w:w="115" w:type="dxa"/>
              <w:left w:w="202" w:type="dxa"/>
              <w:bottom w:w="115" w:type="dxa"/>
              <w:right w:w="202" w:type="dxa"/>
            </w:tcMar>
            <w:vAlign w:val="center"/>
          </w:tcPr>
          <w:p w14:paraId="3BD58F9C" w14:textId="03AC10FB" w:rsidR="00002B17" w:rsidRPr="0008169A" w:rsidRDefault="00002B17" w:rsidP="00221FEC">
            <w:pPr>
              <w:pStyle w:val="BodyText"/>
              <w:spacing w:before="0"/>
              <w:rPr>
                <w:b/>
              </w:rPr>
            </w:pPr>
            <w:r w:rsidRPr="0008169A">
              <w:rPr>
                <w:b/>
              </w:rPr>
              <w:t>Number of Request</w:t>
            </w:r>
            <w:r w:rsidR="00221FEC">
              <w:rPr>
                <w:b/>
              </w:rPr>
              <w:t>s</w:t>
            </w:r>
            <w:r w:rsidRPr="0008169A">
              <w:rPr>
                <w:b/>
              </w:rPr>
              <w:t xml:space="preserve"> Received (</w:t>
            </w:r>
            <w:r w:rsidR="00154DCF">
              <w:rPr>
                <w:b/>
              </w:rPr>
              <w:t>M</w:t>
            </w:r>
            <w:r w:rsidRPr="0008169A">
              <w:rPr>
                <w:b/>
              </w:rPr>
              <w:t xml:space="preserve">ay </w:t>
            </w:r>
            <w:r w:rsidR="00154DCF">
              <w:rPr>
                <w:b/>
              </w:rPr>
              <w:t>L</w:t>
            </w:r>
            <w:r w:rsidRPr="0008169A">
              <w:rPr>
                <w:b/>
              </w:rPr>
              <w:t xml:space="preserve">ist </w:t>
            </w:r>
            <w:r w:rsidR="00154DCF">
              <w:rPr>
                <w:b/>
              </w:rPr>
              <w:t>M</w:t>
            </w:r>
            <w:r w:rsidRPr="0008169A">
              <w:rPr>
                <w:b/>
              </w:rPr>
              <w:t xml:space="preserve">ore </w:t>
            </w:r>
            <w:r w:rsidR="00154DCF">
              <w:rPr>
                <w:b/>
              </w:rPr>
              <w:t>T</w:t>
            </w:r>
            <w:r w:rsidRPr="0008169A">
              <w:rPr>
                <w:b/>
              </w:rPr>
              <w:t xml:space="preserve">han </w:t>
            </w:r>
            <w:r w:rsidR="00154DCF">
              <w:rPr>
                <w:b/>
              </w:rPr>
              <w:t>O</w:t>
            </w:r>
            <w:r w:rsidRPr="0008169A">
              <w:rPr>
                <w:b/>
              </w:rPr>
              <w:t xml:space="preserve">ne </w:t>
            </w:r>
            <w:r w:rsidR="00154DCF">
              <w:rPr>
                <w:b/>
              </w:rPr>
              <w:t>C</w:t>
            </w:r>
            <w:r w:rsidRPr="0008169A">
              <w:rPr>
                <w:b/>
              </w:rPr>
              <w:t>hild)</w:t>
            </w:r>
          </w:p>
        </w:tc>
        <w:tc>
          <w:tcPr>
            <w:tcW w:w="1260" w:type="dxa"/>
            <w:tcMar>
              <w:top w:w="115" w:type="dxa"/>
              <w:left w:w="202" w:type="dxa"/>
              <w:bottom w:w="115" w:type="dxa"/>
              <w:right w:w="202" w:type="dxa"/>
            </w:tcMar>
            <w:vAlign w:val="center"/>
          </w:tcPr>
          <w:p w14:paraId="0AF3396E" w14:textId="0FC95AC6" w:rsidR="00002B17" w:rsidRPr="00BF322C" w:rsidRDefault="00002B17" w:rsidP="00002B17">
            <w:pPr>
              <w:pStyle w:val="BodyText"/>
              <w:spacing w:before="0"/>
              <w:jc w:val="right"/>
            </w:pPr>
            <w:r w:rsidRPr="00ED7841">
              <w:rPr>
                <w:rStyle w:val="normaltextrun"/>
                <w:rFonts w:eastAsia="Verdana" w:cs="Verdana"/>
              </w:rPr>
              <w:t>29,888</w:t>
            </w:r>
          </w:p>
        </w:tc>
        <w:tc>
          <w:tcPr>
            <w:tcW w:w="1260" w:type="dxa"/>
            <w:tcMar>
              <w:top w:w="115" w:type="dxa"/>
              <w:left w:w="202" w:type="dxa"/>
              <w:bottom w:w="115" w:type="dxa"/>
              <w:right w:w="202" w:type="dxa"/>
            </w:tcMar>
            <w:vAlign w:val="center"/>
          </w:tcPr>
          <w:p w14:paraId="2FEED7B3" w14:textId="23F6CBF9" w:rsidR="00002B17" w:rsidRPr="00BF322C" w:rsidRDefault="00002B17" w:rsidP="00002B17">
            <w:pPr>
              <w:pStyle w:val="BodyText"/>
              <w:spacing w:before="0"/>
              <w:jc w:val="right"/>
            </w:pPr>
            <w:r w:rsidRPr="00ED7841">
              <w:rPr>
                <w:rStyle w:val="normaltextrun"/>
                <w:rFonts w:eastAsia="Verdana" w:cs="Verdana"/>
              </w:rPr>
              <w:t>30,048</w:t>
            </w:r>
          </w:p>
        </w:tc>
        <w:tc>
          <w:tcPr>
            <w:tcW w:w="1260" w:type="dxa"/>
            <w:tcMar>
              <w:top w:w="115" w:type="dxa"/>
              <w:left w:w="202" w:type="dxa"/>
              <w:bottom w:w="115" w:type="dxa"/>
              <w:right w:w="202" w:type="dxa"/>
            </w:tcMar>
            <w:vAlign w:val="center"/>
          </w:tcPr>
          <w:p w14:paraId="78D5C457" w14:textId="429DB274" w:rsidR="00002B17" w:rsidRPr="00BF322C" w:rsidRDefault="00002B17" w:rsidP="00002B17">
            <w:pPr>
              <w:pStyle w:val="BodyText"/>
              <w:spacing w:before="0"/>
              <w:jc w:val="right"/>
            </w:pPr>
            <w:r w:rsidRPr="00ED7841">
              <w:rPr>
                <w:rStyle w:val="normaltextrun"/>
                <w:rFonts w:eastAsia="Verdana" w:cs="Verdana"/>
              </w:rPr>
              <w:t>31,598</w:t>
            </w:r>
          </w:p>
        </w:tc>
        <w:tc>
          <w:tcPr>
            <w:tcW w:w="1260" w:type="dxa"/>
            <w:tcMar>
              <w:top w:w="115" w:type="dxa"/>
              <w:left w:w="202" w:type="dxa"/>
              <w:bottom w:w="115" w:type="dxa"/>
              <w:right w:w="202" w:type="dxa"/>
            </w:tcMar>
            <w:vAlign w:val="center"/>
          </w:tcPr>
          <w:p w14:paraId="3BDA4766" w14:textId="67FF8DD0" w:rsidR="00002B17" w:rsidRPr="00BF322C" w:rsidRDefault="00002B17" w:rsidP="00002B17">
            <w:pPr>
              <w:pStyle w:val="BodyText"/>
              <w:spacing w:before="0"/>
              <w:jc w:val="right"/>
            </w:pPr>
            <w:r w:rsidRPr="00ED7841">
              <w:rPr>
                <w:rStyle w:val="normaltextrun"/>
                <w:rFonts w:eastAsia="Verdana" w:cs="Verdana"/>
              </w:rPr>
              <w:t>38,527</w:t>
            </w:r>
          </w:p>
        </w:tc>
        <w:tc>
          <w:tcPr>
            <w:tcW w:w="1260" w:type="dxa"/>
            <w:tcMar>
              <w:top w:w="115" w:type="dxa"/>
              <w:left w:w="202" w:type="dxa"/>
              <w:bottom w:w="115" w:type="dxa"/>
              <w:right w:w="202" w:type="dxa"/>
            </w:tcMar>
            <w:vAlign w:val="center"/>
          </w:tcPr>
          <w:p w14:paraId="3FF1EF65" w14:textId="17AC3C59" w:rsidR="00002B17" w:rsidRPr="00BF322C" w:rsidRDefault="00002B17" w:rsidP="00154DCF">
            <w:pPr>
              <w:pStyle w:val="BodyText"/>
              <w:spacing w:before="0"/>
              <w:jc w:val="right"/>
            </w:pPr>
            <w:r>
              <w:t>45,762</w:t>
            </w:r>
          </w:p>
        </w:tc>
      </w:tr>
      <w:tr w:rsidR="00154DCF" w:rsidRPr="00ED7841" w14:paraId="1CC98D67" w14:textId="77777777" w:rsidTr="0059501A">
        <w:trPr>
          <w:cnfStyle w:val="000000010000" w:firstRow="0" w:lastRow="0" w:firstColumn="0" w:lastColumn="0" w:oddVBand="0" w:evenVBand="0" w:oddHBand="0" w:evenHBand="1" w:firstRowFirstColumn="0" w:firstRowLastColumn="0" w:lastRowFirstColumn="0" w:lastRowLastColumn="0"/>
          <w:trHeight w:val="846"/>
        </w:trPr>
        <w:tc>
          <w:tcPr>
            <w:tcW w:w="3060" w:type="dxa"/>
            <w:tcMar>
              <w:top w:w="115" w:type="dxa"/>
              <w:left w:w="202" w:type="dxa"/>
              <w:bottom w:w="115" w:type="dxa"/>
              <w:right w:w="202" w:type="dxa"/>
            </w:tcMar>
            <w:vAlign w:val="center"/>
          </w:tcPr>
          <w:p w14:paraId="3BC5AC7D" w14:textId="328FD8AF" w:rsidR="00002B17" w:rsidRPr="0008169A" w:rsidRDefault="00002B17" w:rsidP="00002B17">
            <w:pPr>
              <w:pStyle w:val="BodyText"/>
              <w:spacing w:before="0"/>
              <w:rPr>
                <w:b/>
              </w:rPr>
            </w:pPr>
            <w:r w:rsidRPr="0008169A">
              <w:rPr>
                <w:b/>
              </w:rPr>
              <w:t>Number of Individuals</w:t>
            </w:r>
            <w:r>
              <w:rPr>
                <w:b/>
              </w:rPr>
              <w:t xml:space="preserve"> for Whom Affidavits Were Requested</w:t>
            </w:r>
          </w:p>
        </w:tc>
        <w:tc>
          <w:tcPr>
            <w:tcW w:w="0" w:type="dxa"/>
            <w:tcMar>
              <w:top w:w="115" w:type="dxa"/>
              <w:left w:w="202" w:type="dxa"/>
              <w:bottom w:w="115" w:type="dxa"/>
              <w:right w:w="202" w:type="dxa"/>
            </w:tcMar>
            <w:vAlign w:val="center"/>
          </w:tcPr>
          <w:p w14:paraId="29770D21" w14:textId="4B4847DF" w:rsidR="00002B17" w:rsidRPr="00BF322C" w:rsidRDefault="00002B17" w:rsidP="00002B17">
            <w:pPr>
              <w:pStyle w:val="BodyText"/>
              <w:spacing w:before="0"/>
              <w:jc w:val="right"/>
            </w:pPr>
            <w:r w:rsidRPr="00ED7841">
              <w:rPr>
                <w:rStyle w:val="normaltextrun"/>
                <w:rFonts w:eastAsia="Verdana" w:cs="Verdana"/>
              </w:rPr>
              <w:t>46,795</w:t>
            </w:r>
          </w:p>
        </w:tc>
        <w:tc>
          <w:tcPr>
            <w:tcW w:w="1260" w:type="dxa"/>
            <w:tcMar>
              <w:top w:w="115" w:type="dxa"/>
              <w:left w:w="202" w:type="dxa"/>
              <w:bottom w:w="115" w:type="dxa"/>
              <w:right w:w="202" w:type="dxa"/>
            </w:tcMar>
            <w:vAlign w:val="center"/>
          </w:tcPr>
          <w:p w14:paraId="573F7D09" w14:textId="5ABE1B06" w:rsidR="00002B17" w:rsidRPr="00BF322C" w:rsidRDefault="00002B17" w:rsidP="00002B17">
            <w:pPr>
              <w:pStyle w:val="BodyText"/>
              <w:spacing w:before="0"/>
              <w:jc w:val="right"/>
            </w:pPr>
            <w:r w:rsidRPr="00ED7841">
              <w:rPr>
                <w:rStyle w:val="normaltextrun"/>
                <w:rFonts w:eastAsia="Verdana" w:cs="Verdana"/>
              </w:rPr>
              <w:t>48,472</w:t>
            </w:r>
          </w:p>
        </w:tc>
        <w:tc>
          <w:tcPr>
            <w:tcW w:w="0" w:type="dxa"/>
            <w:tcMar>
              <w:top w:w="115" w:type="dxa"/>
              <w:left w:w="202" w:type="dxa"/>
              <w:bottom w:w="115" w:type="dxa"/>
              <w:right w:w="202" w:type="dxa"/>
            </w:tcMar>
            <w:vAlign w:val="center"/>
          </w:tcPr>
          <w:p w14:paraId="39AC9823" w14:textId="2F4E5A4E" w:rsidR="00002B17" w:rsidRPr="00BF322C" w:rsidRDefault="00002B17" w:rsidP="00002B17">
            <w:pPr>
              <w:pStyle w:val="BodyText"/>
              <w:spacing w:before="0"/>
              <w:jc w:val="right"/>
            </w:pPr>
            <w:r w:rsidRPr="00ED7841">
              <w:rPr>
                <w:rStyle w:val="normaltextrun"/>
                <w:rFonts w:eastAsia="Verdana" w:cs="Verdana"/>
              </w:rPr>
              <w:t>52,195</w:t>
            </w:r>
          </w:p>
        </w:tc>
        <w:tc>
          <w:tcPr>
            <w:tcW w:w="0" w:type="dxa"/>
            <w:tcMar>
              <w:top w:w="115" w:type="dxa"/>
              <w:left w:w="202" w:type="dxa"/>
              <w:bottom w:w="115" w:type="dxa"/>
              <w:right w:w="202" w:type="dxa"/>
            </w:tcMar>
            <w:vAlign w:val="center"/>
          </w:tcPr>
          <w:p w14:paraId="2D5556B3" w14:textId="615E3A87" w:rsidR="00002B17" w:rsidRPr="00BF322C" w:rsidRDefault="00002B17" w:rsidP="00002B17">
            <w:pPr>
              <w:pStyle w:val="BodyText"/>
              <w:spacing w:before="0"/>
              <w:jc w:val="right"/>
            </w:pPr>
            <w:r w:rsidRPr="00ED7841">
              <w:rPr>
                <w:rStyle w:val="normaltextrun"/>
                <w:rFonts w:eastAsia="Verdana" w:cs="Verdana"/>
              </w:rPr>
              <w:t>64,530</w:t>
            </w:r>
          </w:p>
        </w:tc>
        <w:tc>
          <w:tcPr>
            <w:tcW w:w="0" w:type="dxa"/>
            <w:tcMar>
              <w:top w:w="115" w:type="dxa"/>
              <w:left w:w="202" w:type="dxa"/>
              <w:bottom w:w="115" w:type="dxa"/>
              <w:right w:w="202" w:type="dxa"/>
            </w:tcMar>
            <w:vAlign w:val="center"/>
          </w:tcPr>
          <w:p w14:paraId="3DEBDEA7" w14:textId="677F3AE8" w:rsidR="00002B17" w:rsidRPr="00BF322C" w:rsidRDefault="00002B17" w:rsidP="00154DCF">
            <w:pPr>
              <w:pStyle w:val="BodyText"/>
              <w:spacing w:before="0"/>
              <w:jc w:val="right"/>
            </w:pPr>
            <w:r>
              <w:t>76,665</w:t>
            </w:r>
          </w:p>
        </w:tc>
      </w:tr>
      <w:tr w:rsidR="00154DCF" w:rsidRPr="00ED7841" w14:paraId="7A3D505C" w14:textId="77777777" w:rsidTr="00154DCF">
        <w:trPr>
          <w:trHeight w:val="360"/>
        </w:trPr>
        <w:tc>
          <w:tcPr>
            <w:tcW w:w="3060" w:type="dxa"/>
            <w:tcMar>
              <w:top w:w="115" w:type="dxa"/>
              <w:left w:w="202" w:type="dxa"/>
              <w:bottom w:w="115" w:type="dxa"/>
              <w:right w:w="202" w:type="dxa"/>
            </w:tcMar>
            <w:vAlign w:val="center"/>
          </w:tcPr>
          <w:p w14:paraId="7B426EFF" w14:textId="036674BD" w:rsidR="00002B17" w:rsidRPr="0008169A" w:rsidRDefault="00002B17" w:rsidP="00154DCF">
            <w:pPr>
              <w:pStyle w:val="BodyText"/>
              <w:spacing w:before="0"/>
              <w:rPr>
                <w:b/>
              </w:rPr>
            </w:pPr>
            <w:r w:rsidRPr="0008169A">
              <w:rPr>
                <w:b/>
              </w:rPr>
              <w:t>Number of Affidavits Mailed</w:t>
            </w:r>
            <w:r>
              <w:rPr>
                <w:b/>
              </w:rPr>
              <w:t xml:space="preserve"> (</w:t>
            </w:r>
            <w:r w:rsidR="00154DCF">
              <w:rPr>
                <w:b/>
              </w:rPr>
              <w:t>M</w:t>
            </w:r>
            <w:r>
              <w:rPr>
                <w:b/>
              </w:rPr>
              <w:t xml:space="preserve">ay </w:t>
            </w:r>
            <w:r w:rsidR="00154DCF">
              <w:rPr>
                <w:b/>
              </w:rPr>
              <w:t>R</w:t>
            </w:r>
            <w:r>
              <w:rPr>
                <w:b/>
              </w:rPr>
              <w:t xml:space="preserve">equest </w:t>
            </w:r>
            <w:r w:rsidR="00154DCF">
              <w:rPr>
                <w:b/>
              </w:rPr>
              <w:t>U</w:t>
            </w:r>
            <w:r>
              <w:rPr>
                <w:b/>
              </w:rPr>
              <w:t xml:space="preserve">p to </w:t>
            </w:r>
            <w:r w:rsidR="00154DCF">
              <w:rPr>
                <w:b/>
              </w:rPr>
              <w:t>F</w:t>
            </w:r>
            <w:r>
              <w:rPr>
                <w:b/>
              </w:rPr>
              <w:t xml:space="preserve">ive </w:t>
            </w:r>
            <w:r w:rsidR="00154DCF">
              <w:rPr>
                <w:b/>
              </w:rPr>
              <w:t>P</w:t>
            </w:r>
            <w:r>
              <w:rPr>
                <w:b/>
              </w:rPr>
              <w:t xml:space="preserve">er </w:t>
            </w:r>
            <w:r w:rsidR="00154DCF">
              <w:rPr>
                <w:b/>
              </w:rPr>
              <w:t>C</w:t>
            </w:r>
            <w:r>
              <w:rPr>
                <w:b/>
              </w:rPr>
              <w:t>hild)</w:t>
            </w:r>
          </w:p>
        </w:tc>
        <w:tc>
          <w:tcPr>
            <w:tcW w:w="1260" w:type="dxa"/>
            <w:tcMar>
              <w:top w:w="115" w:type="dxa"/>
              <w:left w:w="202" w:type="dxa"/>
              <w:bottom w:w="115" w:type="dxa"/>
              <w:right w:w="202" w:type="dxa"/>
            </w:tcMar>
            <w:vAlign w:val="center"/>
          </w:tcPr>
          <w:p w14:paraId="3EA930E3" w14:textId="3E12E311" w:rsidR="00002B17" w:rsidRPr="00BF322C" w:rsidRDefault="00002B17" w:rsidP="00002B17">
            <w:pPr>
              <w:pStyle w:val="BodyText"/>
              <w:spacing w:before="0"/>
              <w:jc w:val="right"/>
            </w:pPr>
            <w:r w:rsidRPr="00ED7841">
              <w:rPr>
                <w:rStyle w:val="normaltextrun"/>
                <w:rFonts w:eastAsia="Verdana" w:cs="Verdana"/>
              </w:rPr>
              <w:t>113,959</w:t>
            </w:r>
          </w:p>
        </w:tc>
        <w:tc>
          <w:tcPr>
            <w:tcW w:w="1260" w:type="dxa"/>
            <w:tcMar>
              <w:top w:w="115" w:type="dxa"/>
              <w:left w:w="202" w:type="dxa"/>
              <w:bottom w:w="115" w:type="dxa"/>
              <w:right w:w="202" w:type="dxa"/>
            </w:tcMar>
            <w:vAlign w:val="center"/>
          </w:tcPr>
          <w:p w14:paraId="7BC53EDE" w14:textId="49D7B9EB" w:rsidR="00002B17" w:rsidRPr="00BF322C" w:rsidRDefault="00002B17" w:rsidP="00002B17">
            <w:pPr>
              <w:pStyle w:val="BodyText"/>
              <w:spacing w:before="0"/>
              <w:jc w:val="right"/>
            </w:pPr>
            <w:r w:rsidRPr="00ED7841">
              <w:rPr>
                <w:rStyle w:val="normaltextrun"/>
                <w:rFonts w:eastAsia="Verdana" w:cs="Verdana"/>
              </w:rPr>
              <w:t>119,505</w:t>
            </w:r>
          </w:p>
        </w:tc>
        <w:tc>
          <w:tcPr>
            <w:tcW w:w="1260" w:type="dxa"/>
            <w:tcMar>
              <w:top w:w="115" w:type="dxa"/>
              <w:left w:w="202" w:type="dxa"/>
              <w:bottom w:w="115" w:type="dxa"/>
              <w:right w:w="202" w:type="dxa"/>
            </w:tcMar>
            <w:vAlign w:val="center"/>
          </w:tcPr>
          <w:p w14:paraId="5909B2A6" w14:textId="107FB93D" w:rsidR="00002B17" w:rsidRPr="00BF322C" w:rsidRDefault="00002B17" w:rsidP="00002B17">
            <w:pPr>
              <w:pStyle w:val="BodyText"/>
              <w:spacing w:before="0"/>
              <w:jc w:val="right"/>
            </w:pPr>
            <w:r w:rsidRPr="00ED7841">
              <w:rPr>
                <w:rStyle w:val="normaltextrun"/>
                <w:rFonts w:eastAsia="Verdana" w:cs="Verdana"/>
              </w:rPr>
              <w:t>130,248</w:t>
            </w:r>
          </w:p>
        </w:tc>
        <w:tc>
          <w:tcPr>
            <w:tcW w:w="1260" w:type="dxa"/>
            <w:tcMar>
              <w:top w:w="115" w:type="dxa"/>
              <w:left w:w="202" w:type="dxa"/>
              <w:bottom w:w="115" w:type="dxa"/>
              <w:right w:w="202" w:type="dxa"/>
            </w:tcMar>
            <w:vAlign w:val="center"/>
          </w:tcPr>
          <w:p w14:paraId="641768A3" w14:textId="0A3A0A82" w:rsidR="00002B17" w:rsidRPr="00BF322C" w:rsidRDefault="00002B17" w:rsidP="00002B17">
            <w:pPr>
              <w:pStyle w:val="BodyText"/>
              <w:spacing w:before="0"/>
              <w:jc w:val="right"/>
            </w:pPr>
            <w:r w:rsidRPr="00ED7841">
              <w:rPr>
                <w:rStyle w:val="normaltextrun"/>
                <w:rFonts w:eastAsia="Verdana" w:cs="Verdana"/>
              </w:rPr>
              <w:t>160,976</w:t>
            </w:r>
          </w:p>
        </w:tc>
        <w:tc>
          <w:tcPr>
            <w:tcW w:w="1260" w:type="dxa"/>
            <w:tcMar>
              <w:top w:w="115" w:type="dxa"/>
              <w:left w:w="202" w:type="dxa"/>
              <w:bottom w:w="115" w:type="dxa"/>
              <w:right w:w="202" w:type="dxa"/>
            </w:tcMar>
            <w:vAlign w:val="center"/>
          </w:tcPr>
          <w:p w14:paraId="7116295A" w14:textId="2012AA93" w:rsidR="00002B17" w:rsidRPr="00BF322C" w:rsidRDefault="00002B17" w:rsidP="00154DCF">
            <w:pPr>
              <w:pStyle w:val="BodyText"/>
              <w:spacing w:before="0"/>
              <w:jc w:val="right"/>
            </w:pPr>
            <w:r>
              <w:t>188,883</w:t>
            </w:r>
          </w:p>
        </w:tc>
      </w:tr>
      <w:tr w:rsidR="00154DCF" w:rsidRPr="00ED7841" w14:paraId="42562254" w14:textId="77777777" w:rsidTr="0059501A">
        <w:trPr>
          <w:cnfStyle w:val="000000010000" w:firstRow="0" w:lastRow="0" w:firstColumn="0" w:lastColumn="0" w:oddVBand="0" w:evenVBand="0" w:oddHBand="0" w:evenHBand="1" w:firstRowFirstColumn="0" w:firstRowLastColumn="0" w:lastRowFirstColumn="0" w:lastRowLastColumn="0"/>
          <w:trHeight w:val="1566"/>
        </w:trPr>
        <w:tc>
          <w:tcPr>
            <w:tcW w:w="3060" w:type="dxa"/>
            <w:tcMar>
              <w:top w:w="115" w:type="dxa"/>
              <w:left w:w="202" w:type="dxa"/>
              <w:bottom w:w="115" w:type="dxa"/>
              <w:right w:w="202" w:type="dxa"/>
            </w:tcMar>
            <w:vAlign w:val="center"/>
          </w:tcPr>
          <w:p w14:paraId="1D40E491" w14:textId="0BA16C53" w:rsidR="00B87979" w:rsidRPr="0008169A" w:rsidRDefault="5DDCF1D8" w:rsidP="00ED7841">
            <w:pPr>
              <w:pStyle w:val="BodyText"/>
              <w:spacing w:before="0"/>
              <w:rPr>
                <w:b/>
              </w:rPr>
            </w:pPr>
            <w:r w:rsidRPr="0008169A">
              <w:rPr>
                <w:b/>
              </w:rPr>
              <w:t>Number of Meningococcal Exemptions Processed through the Web Portal for Public Junior and Community College Students</w:t>
            </w:r>
          </w:p>
        </w:tc>
        <w:tc>
          <w:tcPr>
            <w:tcW w:w="0" w:type="dxa"/>
            <w:tcMar>
              <w:top w:w="115" w:type="dxa"/>
              <w:left w:w="202" w:type="dxa"/>
              <w:bottom w:w="115" w:type="dxa"/>
              <w:right w:w="202" w:type="dxa"/>
            </w:tcMar>
            <w:vAlign w:val="center"/>
          </w:tcPr>
          <w:p w14:paraId="5D8D4DFD" w14:textId="20EBA83A" w:rsidR="00B87979" w:rsidRPr="00BF322C" w:rsidRDefault="5DDCF1D8" w:rsidP="0008169A">
            <w:pPr>
              <w:pStyle w:val="BodyText"/>
              <w:spacing w:before="0"/>
              <w:jc w:val="right"/>
            </w:pPr>
            <w:r w:rsidRPr="00ED7841">
              <w:rPr>
                <w:rStyle w:val="normaltextrun"/>
                <w:rFonts w:eastAsia="Verdana" w:cs="Verdana"/>
              </w:rPr>
              <w:t>46,906</w:t>
            </w:r>
          </w:p>
        </w:tc>
        <w:tc>
          <w:tcPr>
            <w:tcW w:w="1260" w:type="dxa"/>
            <w:tcMar>
              <w:top w:w="115" w:type="dxa"/>
              <w:left w:w="202" w:type="dxa"/>
              <w:bottom w:w="115" w:type="dxa"/>
              <w:right w:w="202" w:type="dxa"/>
            </w:tcMar>
            <w:vAlign w:val="center"/>
          </w:tcPr>
          <w:p w14:paraId="10F5CF69" w14:textId="2FE5E0BE" w:rsidR="00B87979" w:rsidRPr="00BF322C" w:rsidRDefault="5DDCF1D8" w:rsidP="0008169A">
            <w:pPr>
              <w:pStyle w:val="BodyText"/>
              <w:spacing w:before="0"/>
              <w:jc w:val="right"/>
            </w:pPr>
            <w:r w:rsidRPr="00ED7841">
              <w:rPr>
                <w:rStyle w:val="normaltextrun"/>
                <w:rFonts w:eastAsia="Verdana" w:cs="Verdana"/>
              </w:rPr>
              <w:t>57,192</w:t>
            </w:r>
          </w:p>
        </w:tc>
        <w:tc>
          <w:tcPr>
            <w:tcW w:w="0" w:type="dxa"/>
            <w:tcMar>
              <w:top w:w="115" w:type="dxa"/>
              <w:left w:w="202" w:type="dxa"/>
              <w:bottom w:w="115" w:type="dxa"/>
              <w:right w:w="202" w:type="dxa"/>
            </w:tcMar>
            <w:vAlign w:val="center"/>
          </w:tcPr>
          <w:p w14:paraId="4122A338" w14:textId="3C47F745" w:rsidR="00B87979" w:rsidRPr="00BF322C" w:rsidRDefault="5DDCF1D8" w:rsidP="0008169A">
            <w:pPr>
              <w:pStyle w:val="BodyText"/>
              <w:spacing w:before="0"/>
              <w:jc w:val="right"/>
            </w:pPr>
            <w:r w:rsidRPr="00ED7841">
              <w:rPr>
                <w:rStyle w:val="normaltextrun"/>
                <w:rFonts w:eastAsia="Verdana" w:cs="Verdana"/>
              </w:rPr>
              <w:t>56,643</w:t>
            </w:r>
          </w:p>
        </w:tc>
        <w:tc>
          <w:tcPr>
            <w:tcW w:w="0" w:type="dxa"/>
            <w:tcMar>
              <w:top w:w="115" w:type="dxa"/>
              <w:left w:w="202" w:type="dxa"/>
              <w:bottom w:w="115" w:type="dxa"/>
              <w:right w:w="202" w:type="dxa"/>
            </w:tcMar>
            <w:vAlign w:val="center"/>
          </w:tcPr>
          <w:p w14:paraId="68DC7E66" w14:textId="5F1B7AEE" w:rsidR="00B87979" w:rsidRPr="00BF322C" w:rsidRDefault="5DDCF1D8" w:rsidP="0008169A">
            <w:pPr>
              <w:pStyle w:val="BodyText"/>
              <w:spacing w:before="0"/>
              <w:jc w:val="right"/>
            </w:pPr>
            <w:r w:rsidRPr="00ED7841">
              <w:rPr>
                <w:rStyle w:val="normaltextrun"/>
                <w:rFonts w:eastAsia="Verdana" w:cs="Verdana"/>
              </w:rPr>
              <w:t>57,644</w:t>
            </w:r>
          </w:p>
        </w:tc>
        <w:tc>
          <w:tcPr>
            <w:tcW w:w="0" w:type="dxa"/>
            <w:tcMar>
              <w:top w:w="115" w:type="dxa"/>
              <w:left w:w="202" w:type="dxa"/>
              <w:bottom w:w="115" w:type="dxa"/>
              <w:right w:w="202" w:type="dxa"/>
            </w:tcMar>
            <w:vAlign w:val="center"/>
          </w:tcPr>
          <w:p w14:paraId="6DE9EDD6" w14:textId="471A21F1" w:rsidR="00B87979" w:rsidRPr="00BF322C" w:rsidRDefault="00002B17" w:rsidP="00154DCF">
            <w:pPr>
              <w:pStyle w:val="BodyText"/>
              <w:spacing w:before="0"/>
              <w:jc w:val="right"/>
            </w:pPr>
            <w:r>
              <w:t>56,639</w:t>
            </w:r>
          </w:p>
        </w:tc>
      </w:tr>
    </w:tbl>
    <w:p w14:paraId="7D6FC674" w14:textId="77777777" w:rsidR="00567DF8" w:rsidRPr="00B200A1" w:rsidRDefault="00B95E7C" w:rsidP="00B200A1">
      <w:pPr>
        <w:pStyle w:val="BodyText"/>
        <w:rPr>
          <w:rStyle w:val="Strong"/>
          <w:b w:val="0"/>
          <w:bCs w:val="0"/>
        </w:rPr>
      </w:pPr>
      <w:r>
        <w:t>Figure 4 below</w:t>
      </w:r>
      <w:r w:rsidR="5DDCF1D8">
        <w:t xml:space="preserve"> shows the number of conscientious exemptions filed at public and private schools for kindergarten th</w:t>
      </w:r>
      <w:bookmarkStart w:id="26" w:name="_GoBack"/>
      <w:bookmarkEnd w:id="26"/>
      <w:r w:rsidR="5DDCF1D8">
        <w:t>rough 12th grade since 2008.</w:t>
      </w:r>
    </w:p>
    <w:p w14:paraId="441D5D75" w14:textId="080D8E2E" w:rsidR="00BF322C" w:rsidRDefault="00BF322C" w:rsidP="00BF322C">
      <w:pPr>
        <w:pStyle w:val="Caption"/>
      </w:pPr>
      <w:r>
        <w:lastRenderedPageBreak/>
        <w:t xml:space="preserve">Figure </w:t>
      </w:r>
      <w:r w:rsidR="008E3A1A">
        <w:rPr>
          <w:noProof/>
        </w:rPr>
        <w:fldChar w:fldCharType="begin"/>
      </w:r>
      <w:r w:rsidR="008E3A1A">
        <w:rPr>
          <w:noProof/>
        </w:rPr>
        <w:instrText xml:space="preserve"> SEQ Figure \* ARABIC </w:instrText>
      </w:r>
      <w:r w:rsidR="008E3A1A">
        <w:rPr>
          <w:noProof/>
        </w:rPr>
        <w:fldChar w:fldCharType="separate"/>
      </w:r>
      <w:r w:rsidR="0057330E">
        <w:rPr>
          <w:noProof/>
        </w:rPr>
        <w:t>4</w:t>
      </w:r>
      <w:r w:rsidR="008E3A1A">
        <w:rPr>
          <w:noProof/>
        </w:rPr>
        <w:fldChar w:fldCharType="end"/>
      </w:r>
      <w:r>
        <w:t xml:space="preserve">. </w:t>
      </w:r>
      <w:r w:rsidRPr="00971CA4">
        <w:t>Number of Conscientious Exemptions Filed at Public and Private Schools, 2009-2018</w:t>
      </w:r>
    </w:p>
    <w:p w14:paraId="35971B29" w14:textId="77777777" w:rsidR="003712C8" w:rsidRDefault="00EA2ECF" w:rsidP="00EA2ECF">
      <w:pPr>
        <w:pStyle w:val="BodyText"/>
      </w:pPr>
      <w:r>
        <w:rPr>
          <w:noProof/>
        </w:rPr>
        <w:drawing>
          <wp:inline distT="0" distB="0" distL="0" distR="0" wp14:anchorId="41035882" wp14:editId="68276C83">
            <wp:extent cx="5916168" cy="2377440"/>
            <wp:effectExtent l="0" t="0" r="8890" b="3810"/>
            <wp:docPr id="10" name="Chart 10" descr="Graph 5. Number of Conscientious Exemptions filed at Public and Private Schools, 2009-2018" title="Graph 5. Number of Conscientious Exemptions filed at Public and Private Schools, 2009-20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0F9BC94" w14:textId="77777777" w:rsidR="55666DE8" w:rsidRDefault="5DDCF1D8" w:rsidP="00ED7841">
      <w:r>
        <w:t xml:space="preserve">Based on information in the </w:t>
      </w:r>
      <w:r w:rsidRPr="5DDCF1D8">
        <w:rPr>
          <w:i/>
          <w:iCs/>
        </w:rPr>
        <w:t>Texas Annual Report of Immunization Status</w:t>
      </w:r>
      <w:r>
        <w:t>, the number and percentage of children who have a conscientious exemption has increased every year since exemptions were allowed in 2003. In the 2017-18 school year, the percent of students with a conscientious exemption on file was 1.07 percent.</w:t>
      </w:r>
    </w:p>
    <w:p w14:paraId="07C43497" w14:textId="77777777" w:rsidR="003712C8" w:rsidRDefault="5DDCF1D8">
      <w:pPr>
        <w:pStyle w:val="Heading1"/>
      </w:pPr>
      <w:r>
        <w:lastRenderedPageBreak/>
        <w:t xml:space="preserve"> </w:t>
      </w:r>
      <w:bookmarkStart w:id="27" w:name="_Toc522706962"/>
      <w:r>
        <w:t>ImmTrac2, the Texas Immunization Registry</w:t>
      </w:r>
      <w:bookmarkEnd w:id="27"/>
    </w:p>
    <w:p w14:paraId="582E7F79" w14:textId="78B471C9" w:rsidR="002F0D4E" w:rsidRDefault="00F95ACC" w:rsidP="007B67C4">
      <w:r>
        <w:t xml:space="preserve">Texas </w:t>
      </w:r>
      <w:r w:rsidRPr="00F95ACC">
        <w:t xml:space="preserve">Health and Safety Code </w:t>
      </w:r>
      <w:hyperlink r:id="rId28" w:anchor="161.007" w:history="1">
        <w:r w:rsidR="5DDCF1D8" w:rsidRPr="003A2645">
          <w:rPr>
            <w:rStyle w:val="Hyperlink"/>
            <w:rFonts w:cstheme="minorBidi"/>
          </w:rPr>
          <w:t>Section 161.007</w:t>
        </w:r>
      </w:hyperlink>
      <w:r w:rsidR="5DDCF1D8">
        <w:t xml:space="preserve"> requires</w:t>
      </w:r>
      <w:r w:rsidR="00150C6E">
        <w:t xml:space="preserve"> the Department of State Health Services</w:t>
      </w:r>
      <w:r w:rsidR="5DDCF1D8">
        <w:t xml:space="preserve"> </w:t>
      </w:r>
      <w:r w:rsidR="00150C6E">
        <w:t>(</w:t>
      </w:r>
      <w:r w:rsidR="5DDCF1D8">
        <w:t>DSHS</w:t>
      </w:r>
      <w:r w:rsidR="00150C6E">
        <w:t>)</w:t>
      </w:r>
      <w:r w:rsidR="5DDCF1D8">
        <w:t xml:space="preserve"> to maintain an immunization registry as a single repository of accurate, complete, and current immunization records.</w:t>
      </w:r>
      <w:r w:rsidR="007B67C4">
        <w:t xml:space="preserve"> </w:t>
      </w:r>
      <w:r w:rsidR="007B67C4" w:rsidRPr="00A9559E">
        <w:t>In 2017, the</w:t>
      </w:r>
      <w:r w:rsidR="007B67C4">
        <w:t xml:space="preserve"> </w:t>
      </w:r>
      <w:r w:rsidR="005D4A89">
        <w:t>legacy</w:t>
      </w:r>
      <w:r w:rsidR="007B67C4" w:rsidRPr="00A9559E">
        <w:t xml:space="preserve"> </w:t>
      </w:r>
      <w:r w:rsidR="005D4A89">
        <w:t xml:space="preserve">version of the </w:t>
      </w:r>
      <w:r w:rsidR="007B67C4" w:rsidRPr="00A9559E">
        <w:t>Texas Immunization Registry</w:t>
      </w:r>
      <w:r w:rsidR="007B67C4">
        <w:t>, called ImmTrac,</w:t>
      </w:r>
      <w:r w:rsidR="007B67C4" w:rsidRPr="00A9559E">
        <w:t xml:space="preserve"> was replaced and re-launched as ImmTrac2.</w:t>
      </w:r>
      <w:r w:rsidR="5DDCF1D8">
        <w:t xml:space="preserve"> </w:t>
      </w:r>
      <w:r w:rsidR="002F0D4E" w:rsidRPr="002F0D4E">
        <w:t>Th</w:t>
      </w:r>
      <w:r w:rsidR="009A12C1">
        <w:t>is</w:t>
      </w:r>
      <w:r w:rsidR="002F0D4E" w:rsidRPr="002F0D4E">
        <w:t xml:space="preserve"> replacement system </w:t>
      </w:r>
      <w:r w:rsidR="007B67C4">
        <w:t xml:space="preserve">consolidates and stores </w:t>
      </w:r>
      <w:r w:rsidR="007B67C4" w:rsidRPr="00A9559E">
        <w:t xml:space="preserve">immunization records </w:t>
      </w:r>
      <w:r w:rsidR="007B67C4">
        <w:t xml:space="preserve">in a secure, central immunization information system </w:t>
      </w:r>
      <w:r w:rsidR="002F0D4E">
        <w:t>and</w:t>
      </w:r>
      <w:r w:rsidR="007B67C4">
        <w:t xml:space="preserve"> </w:t>
      </w:r>
      <w:r w:rsidR="002F0D4E" w:rsidRPr="002F0D4E">
        <w:t>offers providers numerous self-service features as well as the ability to assess current vaccine coverage levels and forecast future needs.</w:t>
      </w:r>
      <w:r w:rsidR="002F0D4E">
        <w:t xml:space="preserve"> </w:t>
      </w:r>
    </w:p>
    <w:p w14:paraId="72796D56" w14:textId="3D7E282D" w:rsidR="00D26710" w:rsidRDefault="007B67C4" w:rsidP="007B67C4">
      <w:r w:rsidRPr="00A9559E">
        <w:t xml:space="preserve">More than 30,000 medical provider sites, including </w:t>
      </w:r>
      <w:r>
        <w:t>Texas Vaccines for Children (</w:t>
      </w:r>
      <w:r w:rsidRPr="00A9559E">
        <w:t>TVFC</w:t>
      </w:r>
      <w:r>
        <w:t>)</w:t>
      </w:r>
      <w:r w:rsidRPr="00A9559E">
        <w:t xml:space="preserve"> provider sites, </w:t>
      </w:r>
      <w:r>
        <w:t xml:space="preserve">are registered to </w:t>
      </w:r>
      <w:r w:rsidRPr="00A9559E">
        <w:t>use ImmTrac2.</w:t>
      </w:r>
      <w:r>
        <w:t xml:space="preserve"> </w:t>
      </w:r>
      <w:r w:rsidR="5DDCF1D8">
        <w:t>ImmTrac2 helps Texans stay up-to-date on their vaccinations, improves information available to providers and parents, and helps DSHS prevent and control the spread of disease.</w:t>
      </w:r>
      <w:r w:rsidRPr="00A9559E">
        <w:t xml:space="preserve"> </w:t>
      </w:r>
      <w:r w:rsidR="5DDCF1D8">
        <w:t xml:space="preserve">It is a critical component to state health information for both immunization and disaster preparedness and planning. </w:t>
      </w:r>
    </w:p>
    <w:p w14:paraId="37647DD5" w14:textId="2F5EEC4F" w:rsidR="003712C8" w:rsidRDefault="00D26710" w:rsidP="003712C8">
      <w:r>
        <w:t xml:space="preserve">As of mid-2018, </w:t>
      </w:r>
      <w:r w:rsidR="002F0D4E">
        <w:t>a</w:t>
      </w:r>
      <w:r w:rsidR="00C92322">
        <w:t xml:space="preserve">pproximately </w:t>
      </w:r>
      <w:r w:rsidR="5DDCF1D8">
        <w:t>1</w:t>
      </w:r>
      <w:r w:rsidR="003A2645">
        <w:t>52</w:t>
      </w:r>
      <w:r w:rsidR="5DDCF1D8">
        <w:t xml:space="preserve"> million immunization records for </w:t>
      </w:r>
      <w:r w:rsidR="003A2645">
        <w:t>more than</w:t>
      </w:r>
      <w:r w:rsidR="5DDCF1D8">
        <w:t xml:space="preserve"> 8</w:t>
      </w:r>
      <w:r w:rsidR="003A2645">
        <w:t>.25</w:t>
      </w:r>
      <w:r w:rsidR="5DDCF1D8">
        <w:t xml:space="preserve"> million </w:t>
      </w:r>
      <w:r w:rsidR="003A2645">
        <w:t xml:space="preserve">children </w:t>
      </w:r>
      <w:r w:rsidR="5DDCF1D8">
        <w:t xml:space="preserve">and </w:t>
      </w:r>
      <w:r w:rsidR="003A2645">
        <w:t>adults</w:t>
      </w:r>
      <w:r>
        <w:t xml:space="preserve"> are stored in ImmTrac2</w:t>
      </w:r>
      <w:r w:rsidR="002F0D4E">
        <w:t xml:space="preserve">, and </w:t>
      </w:r>
      <w:r w:rsidR="002F0D4E" w:rsidRPr="002F0D4E">
        <w:t>more than 19,000 medical providers in Texas actively use ImmTrac2 to assess vaccination coverage among their client populations</w:t>
      </w:r>
      <w:r w:rsidR="5DDCF1D8">
        <w:t>.</w:t>
      </w:r>
    </w:p>
    <w:p w14:paraId="253C20BC" w14:textId="71BCDEE9" w:rsidR="003712C8" w:rsidRDefault="5DDCF1D8" w:rsidP="003712C8">
      <w:r>
        <w:t>The rules governing ImmTrac2 provide a formal complaint process for failure by DSHS to comply with requests for exclusion from the registry, and require DSHS to report incidents of discrimination resulting from exclusion requests. In 2016 and 2017, DSHS did not receive any complaints for failure to remove an individual’s information from the registry</w:t>
      </w:r>
      <w:r w:rsidR="002D52D5">
        <w:t xml:space="preserve"> or for failure to comply with requests for exclusion of individuals from the registry. </w:t>
      </w:r>
      <w:r w:rsidR="00BF0C59">
        <w:t xml:space="preserve">In addition, </w:t>
      </w:r>
      <w:r w:rsidR="002D52D5">
        <w:t xml:space="preserve">DSHS did not receive </w:t>
      </w:r>
      <w:r>
        <w:t>any reports of incidents of discrimination from an individual requesting exclusion from the registry.</w:t>
      </w:r>
    </w:p>
    <w:p w14:paraId="0EC0834C" w14:textId="77777777" w:rsidR="003712C8" w:rsidRDefault="5DDCF1D8" w:rsidP="003712C8">
      <w:pPr>
        <w:pStyle w:val="BodyText"/>
      </w:pPr>
      <w:r>
        <w:t>DSHS has identified the following methods to increase provider participation in ImmTrac2:</w:t>
      </w:r>
    </w:p>
    <w:p w14:paraId="0A79BA87" w14:textId="72EE6E4C" w:rsidR="003712C8" w:rsidRPr="00932AEF" w:rsidRDefault="5DDCF1D8" w:rsidP="00F33343">
      <w:pPr>
        <w:pStyle w:val="ListBullet"/>
        <w:contextualSpacing w:val="0"/>
      </w:pPr>
      <w:r>
        <w:t>Improve registr</w:t>
      </w:r>
      <w:r w:rsidRPr="00932AEF">
        <w:t xml:space="preserve">y value and benefits to providers and </w:t>
      </w:r>
      <w:r w:rsidR="00F72A48" w:rsidRPr="00932AEF">
        <w:t>payers</w:t>
      </w:r>
    </w:p>
    <w:p w14:paraId="7AF57E31" w14:textId="77777777" w:rsidR="003712C8" w:rsidRDefault="5DDCF1D8" w:rsidP="00F33343">
      <w:pPr>
        <w:pStyle w:val="ListBullet"/>
        <w:contextualSpacing w:val="0"/>
      </w:pPr>
      <w:r w:rsidRPr="00932AEF">
        <w:t>Increase registry</w:t>
      </w:r>
      <w:r>
        <w:t xml:space="preserve"> marketing, promotion, and education efforts</w:t>
      </w:r>
    </w:p>
    <w:p w14:paraId="36F72400" w14:textId="77777777" w:rsidR="003712C8" w:rsidRPr="00932AEF" w:rsidRDefault="5DDCF1D8" w:rsidP="00F33343">
      <w:pPr>
        <w:pStyle w:val="ListBullet"/>
        <w:contextualSpacing w:val="0"/>
      </w:pPr>
      <w:r>
        <w:t>Strengthen r</w:t>
      </w:r>
      <w:r w:rsidRPr="00932AEF">
        <w:t>egistry customer support</w:t>
      </w:r>
    </w:p>
    <w:p w14:paraId="422CD3C4" w14:textId="77777777" w:rsidR="003712C8" w:rsidRPr="00932AEF" w:rsidRDefault="003712C8" w:rsidP="00F33343">
      <w:pPr>
        <w:pStyle w:val="ListBullet"/>
        <w:contextualSpacing w:val="0"/>
      </w:pPr>
      <w:r w:rsidRPr="00932AEF">
        <w:lastRenderedPageBreak/>
        <w:t>Continue with interoperability sustainability for Health Level 7</w:t>
      </w:r>
      <w:r w:rsidRPr="00FE280A">
        <w:rPr>
          <w:rStyle w:val="FootnoteReference"/>
          <w:rFonts w:cs="Calibri"/>
        </w:rPr>
        <w:footnoteReference w:id="16"/>
      </w:r>
      <w:r w:rsidRPr="00932AEF">
        <w:t xml:space="preserve"> (HL7) immunization electronic data acceptance from registered providers</w:t>
      </w:r>
    </w:p>
    <w:p w14:paraId="4CC4CFC8" w14:textId="77777777" w:rsidR="003712C8" w:rsidRPr="00932AEF" w:rsidRDefault="5DDCF1D8" w:rsidP="00F33343">
      <w:pPr>
        <w:pStyle w:val="ListBullet"/>
        <w:contextualSpacing w:val="0"/>
      </w:pPr>
      <w:r w:rsidRPr="00932AEF">
        <w:t>Collaborate with electronic health record (EHR) vendors to increase interoperability</w:t>
      </w:r>
    </w:p>
    <w:p w14:paraId="356413BC" w14:textId="77777777" w:rsidR="003712C8" w:rsidRPr="00932AEF" w:rsidRDefault="5DDCF1D8" w:rsidP="00F33343">
      <w:pPr>
        <w:pStyle w:val="ListBullet"/>
        <w:contextualSpacing w:val="0"/>
      </w:pPr>
      <w:r w:rsidRPr="00932AEF">
        <w:t>Employ a medical home model in order to improve clinical usability of the system</w:t>
      </w:r>
    </w:p>
    <w:p w14:paraId="5B55D23C" w14:textId="77777777" w:rsidR="003712C8" w:rsidRPr="00932AEF" w:rsidRDefault="5DDCF1D8" w:rsidP="00F33343">
      <w:pPr>
        <w:pStyle w:val="ListBullet"/>
        <w:contextualSpacing w:val="0"/>
      </w:pPr>
      <w:r w:rsidRPr="00932AEF">
        <w:t>Implement recognition programs</w:t>
      </w:r>
    </w:p>
    <w:p w14:paraId="066F37D2" w14:textId="77777777" w:rsidR="003712C8" w:rsidRDefault="5DDCF1D8" w:rsidP="00F33343">
      <w:pPr>
        <w:pStyle w:val="ListBullet"/>
        <w:contextualSpacing w:val="0"/>
      </w:pPr>
      <w:r w:rsidRPr="00932AEF">
        <w:t>Apply technical</w:t>
      </w:r>
      <w:r>
        <w:t xml:space="preserve"> improvements</w:t>
      </w:r>
    </w:p>
    <w:p w14:paraId="73BD159A" w14:textId="478FF1D6" w:rsidR="007464D4" w:rsidRDefault="00222A18" w:rsidP="003712C8">
      <w:pPr>
        <w:pStyle w:val="BodyText"/>
      </w:pPr>
      <w:r w:rsidRPr="00222A18">
        <w:t xml:space="preserve">Texas law requires written consent by individuals to participate in the </w:t>
      </w:r>
      <w:r w:rsidR="00B73670">
        <w:t xml:space="preserve">immunization </w:t>
      </w:r>
      <w:r w:rsidRPr="00222A18">
        <w:t xml:space="preserve">registry. </w:t>
      </w:r>
      <w:r w:rsidR="00B865E4" w:rsidRPr="00B865E4">
        <w:t xml:space="preserve">To register a child 17 years old or younger, the parent or legal guardian must provide consent. </w:t>
      </w:r>
      <w:r w:rsidR="00E2470C">
        <w:t>This c</w:t>
      </w:r>
      <w:r w:rsidRPr="00222A18">
        <w:t xml:space="preserve">onsent is </w:t>
      </w:r>
      <w:r w:rsidR="00A31E48">
        <w:t xml:space="preserve">required once and </w:t>
      </w:r>
      <w:r w:rsidR="00204688">
        <w:t xml:space="preserve">is </w:t>
      </w:r>
      <w:r w:rsidRPr="00222A18">
        <w:t xml:space="preserve">valid until </w:t>
      </w:r>
      <w:r w:rsidR="00153C5D">
        <w:t>the participating</w:t>
      </w:r>
      <w:r w:rsidR="00153C5D" w:rsidRPr="00222A18">
        <w:t xml:space="preserve"> </w:t>
      </w:r>
      <w:r w:rsidRPr="00222A18">
        <w:t>child turns 18. Pe</w:t>
      </w:r>
      <w:r w:rsidR="00F37717">
        <w:t>rsons</w:t>
      </w:r>
      <w:r w:rsidRPr="00222A18">
        <w:t xml:space="preserve"> 18 years and older must complete an adult consent form</w:t>
      </w:r>
      <w:r w:rsidR="00153C5D">
        <w:t xml:space="preserve"> one time to participate for a lifetime</w:t>
      </w:r>
      <w:r w:rsidRPr="00222A18">
        <w:t xml:space="preserve">. </w:t>
      </w:r>
      <w:bookmarkStart w:id="28" w:name="_Toc521498653"/>
      <w:bookmarkEnd w:id="28"/>
    </w:p>
    <w:p w14:paraId="37F2BC7E" w14:textId="21252E86" w:rsidR="003712C8" w:rsidRDefault="00D743A2" w:rsidP="003712C8">
      <w:pPr>
        <w:pStyle w:val="BodyText"/>
      </w:pPr>
      <w:r>
        <w:t xml:space="preserve">Texas </w:t>
      </w:r>
      <w:r w:rsidR="008155A7">
        <w:t xml:space="preserve">Health and Safety Code </w:t>
      </w:r>
      <w:hyperlink r:id="rId29" w:anchor="161.007" w:history="1">
        <w:r w:rsidR="008155A7" w:rsidRPr="008155A7">
          <w:rPr>
            <w:rStyle w:val="Hyperlink"/>
            <w:rFonts w:cstheme="minorBidi"/>
          </w:rPr>
          <w:t>Section 161.007</w:t>
        </w:r>
      </w:hyperlink>
      <w:r w:rsidR="0073415E">
        <w:t xml:space="preserve">, </w:t>
      </w:r>
      <w:r>
        <w:t xml:space="preserve">requires </w:t>
      </w:r>
      <w:r w:rsidR="008155A7">
        <w:t xml:space="preserve">childhood </w:t>
      </w:r>
      <w:r>
        <w:t>records of minors in ImmTrac2 to be purged</w:t>
      </w:r>
      <w:r w:rsidR="002A3DDE">
        <w:t xml:space="preserve"> once </w:t>
      </w:r>
      <w:r w:rsidR="007464D4">
        <w:t xml:space="preserve">a </w:t>
      </w:r>
      <w:r w:rsidR="008155A7">
        <w:t>participant</w:t>
      </w:r>
      <w:r w:rsidR="002A3DDE">
        <w:t xml:space="preserve"> reach</w:t>
      </w:r>
      <w:r w:rsidR="00C93995">
        <w:t>es</w:t>
      </w:r>
      <w:r w:rsidR="002A3DDE">
        <w:t xml:space="preserve"> adulthood if adult consent is not received</w:t>
      </w:r>
      <w:r w:rsidR="00754699">
        <w:t xml:space="preserve"> </w:t>
      </w:r>
      <w:r w:rsidR="00C933AE">
        <w:t>before a participant’s 26</w:t>
      </w:r>
      <w:r w:rsidR="00C933AE" w:rsidRPr="00F1133F">
        <w:rPr>
          <w:vertAlign w:val="superscript"/>
        </w:rPr>
        <w:t>th</w:t>
      </w:r>
      <w:r w:rsidR="00C933AE">
        <w:t xml:space="preserve"> birthday</w:t>
      </w:r>
      <w:r w:rsidR="002A3DDE">
        <w:t>.</w:t>
      </w:r>
      <w:r>
        <w:t xml:space="preserve"> </w:t>
      </w:r>
      <w:r w:rsidR="5DDCF1D8">
        <w:t xml:space="preserve">To maintain participation among graduating </w:t>
      </w:r>
      <w:r w:rsidR="008155A7">
        <w:t xml:space="preserve">high school </w:t>
      </w:r>
      <w:r w:rsidR="5DDCF1D8">
        <w:t xml:space="preserve">seniors, DSHS </w:t>
      </w:r>
      <w:r w:rsidR="00E36FD7">
        <w:t>works</w:t>
      </w:r>
      <w:r w:rsidR="5DDCF1D8">
        <w:t xml:space="preserve"> with the Texas Education Agency and high school nurses to </w:t>
      </w:r>
      <w:r w:rsidR="008155A7">
        <w:t xml:space="preserve">promote and </w:t>
      </w:r>
      <w:r w:rsidR="00C60BA2">
        <w:t>obtain</w:t>
      </w:r>
      <w:r w:rsidR="00153C5D">
        <w:t xml:space="preserve"> </w:t>
      </w:r>
      <w:r w:rsidR="5DDCF1D8">
        <w:t>consent from</w:t>
      </w:r>
      <w:r w:rsidR="008155A7">
        <w:t xml:space="preserve"> 18-year-old</w:t>
      </w:r>
      <w:r w:rsidR="5DDCF1D8">
        <w:t xml:space="preserve"> students, and will work with higher education entities to increase </w:t>
      </w:r>
      <w:r w:rsidR="008155A7">
        <w:t xml:space="preserve">young </w:t>
      </w:r>
      <w:r w:rsidR="5DDCF1D8">
        <w:t>adult participation in the system.</w:t>
      </w:r>
      <w:r w:rsidR="00E951E2">
        <w:t xml:space="preserve"> </w:t>
      </w:r>
      <w:r w:rsidR="00754699">
        <w:t xml:space="preserve">In addition, DSHS </w:t>
      </w:r>
      <w:r w:rsidR="00AC6880">
        <w:t>mail</w:t>
      </w:r>
      <w:r w:rsidR="00C146DA">
        <w:t>s</w:t>
      </w:r>
      <w:r w:rsidR="00754699">
        <w:t xml:space="preserve"> </w:t>
      </w:r>
      <w:r w:rsidR="0037506B">
        <w:t xml:space="preserve">a </w:t>
      </w:r>
      <w:r w:rsidR="00754699">
        <w:t>notification to</w:t>
      </w:r>
      <w:r w:rsidR="0037506B">
        <w:t xml:space="preserve"> each</w:t>
      </w:r>
      <w:r w:rsidR="00754699">
        <w:t xml:space="preserve"> ImmTrac2 participant who recently turned 18 </w:t>
      </w:r>
      <w:r w:rsidR="00C93995">
        <w:t xml:space="preserve">outlining </w:t>
      </w:r>
      <w:r w:rsidR="00754699">
        <w:t xml:space="preserve">the benefits of providing opt-in consent as an adult to maintain </w:t>
      </w:r>
      <w:r w:rsidR="00C93995">
        <w:t xml:space="preserve">vaccination </w:t>
      </w:r>
      <w:r w:rsidR="00EE65FD">
        <w:t xml:space="preserve">histories </w:t>
      </w:r>
      <w:r w:rsidR="00754699">
        <w:t>for a lifetime.</w:t>
      </w:r>
      <w:r w:rsidR="00554A67">
        <w:rPr>
          <w:rStyle w:val="FootnoteReference"/>
        </w:rPr>
        <w:footnoteReference w:id="17"/>
      </w:r>
      <w:bookmarkStart w:id="29" w:name="_Toc521498654"/>
      <w:bookmarkEnd w:id="29"/>
    </w:p>
    <w:p w14:paraId="7635F7E0" w14:textId="77777777" w:rsidR="008F3CA8" w:rsidRDefault="5DDCF1D8" w:rsidP="008F3CA8">
      <w:pPr>
        <w:pStyle w:val="Heading1"/>
      </w:pPr>
      <w:bookmarkStart w:id="30" w:name="_Toc522706963"/>
      <w:r>
        <w:lastRenderedPageBreak/>
        <w:t>Conclusion</w:t>
      </w:r>
      <w:bookmarkEnd w:id="10"/>
      <w:bookmarkEnd w:id="11"/>
      <w:bookmarkEnd w:id="30"/>
    </w:p>
    <w:p w14:paraId="0F733EDE" w14:textId="77777777" w:rsidR="002A7436" w:rsidRDefault="5DDCF1D8" w:rsidP="0028234C">
      <w:pPr>
        <w:pStyle w:val="BodyTextafterheading"/>
      </w:pPr>
      <w:r>
        <w:t xml:space="preserve">Stakeholders and policy makers have made childhood immunizations a priority in Texas. </w:t>
      </w:r>
      <w:r w:rsidR="0073415E">
        <w:t>The Department of State Health Services (</w:t>
      </w:r>
      <w:r>
        <w:t>DSHS</w:t>
      </w:r>
      <w:r w:rsidR="0073415E">
        <w:t>)</w:t>
      </w:r>
      <w:r>
        <w:t xml:space="preserve"> has incorporated proven strategies in a comprehensive, collaborative approach with local and state partners to increase vaccine coverage levels. This systematic approach is designed to eliminate impediments to vaccination and maximize resources available to the immunization delivery system. Going forward, DSHS will continue to evaluate the effectiveness of existing public health strategies, and work to implement policies that increase coverage levels and thus decrease disease in Texas.</w:t>
      </w:r>
    </w:p>
    <w:p w14:paraId="533F931A" w14:textId="77777777" w:rsidR="002A7436" w:rsidRDefault="002A7436" w:rsidP="008B4248">
      <w:pPr>
        <w:pStyle w:val="BodyText"/>
      </w:pPr>
      <w:r>
        <w:br w:type="page"/>
      </w:r>
    </w:p>
    <w:p w14:paraId="48FB3F16" w14:textId="77777777" w:rsidR="002A7436" w:rsidRDefault="002A7436" w:rsidP="002A7436">
      <w:pPr>
        <w:pStyle w:val="Heading1forLists"/>
      </w:pPr>
      <w:bookmarkStart w:id="31" w:name="_Toc520725724"/>
      <w:bookmarkStart w:id="32" w:name="_Toc522706964"/>
      <w:r>
        <w:lastRenderedPageBreak/>
        <w:t>List of Acronyms</w:t>
      </w:r>
      <w:bookmarkEnd w:id="31"/>
      <w:bookmarkEnd w:id="32"/>
    </w:p>
    <w:tbl>
      <w:tblPr>
        <w:tblW w:w="9450" w:type="dxa"/>
        <w:tblLayout w:type="fixed"/>
        <w:tblCellMar>
          <w:top w:w="80" w:type="dxa"/>
          <w:bottom w:w="40" w:type="dxa"/>
        </w:tblCellMar>
        <w:tblLook w:val="04A0" w:firstRow="1" w:lastRow="0" w:firstColumn="1" w:lastColumn="0" w:noHBand="0" w:noVBand="1"/>
      </w:tblPr>
      <w:tblGrid>
        <w:gridCol w:w="2040"/>
        <w:gridCol w:w="7410"/>
      </w:tblGrid>
      <w:tr w:rsidR="002A7436" w:rsidRPr="00C31181" w14:paraId="36D4B624" w14:textId="77777777" w:rsidTr="002A7436">
        <w:tc>
          <w:tcPr>
            <w:tcW w:w="2040" w:type="dxa"/>
            <w:tcBorders>
              <w:top w:val="nil"/>
              <w:left w:val="nil"/>
              <w:bottom w:val="single" w:sz="4" w:space="0" w:color="auto"/>
              <w:right w:val="nil"/>
            </w:tcBorders>
            <w:vAlign w:val="bottom"/>
            <w:hideMark/>
          </w:tcPr>
          <w:p w14:paraId="69B00562" w14:textId="77777777" w:rsidR="002A7436" w:rsidRPr="00680C69" w:rsidRDefault="002A7436" w:rsidP="002A7436">
            <w:pPr>
              <w:jc w:val="center"/>
              <w:rPr>
                <w:b/>
              </w:rPr>
            </w:pPr>
            <w:r w:rsidRPr="00F71E22">
              <w:rPr>
                <w:b/>
              </w:rPr>
              <w:t>Acronym</w:t>
            </w:r>
          </w:p>
        </w:tc>
        <w:tc>
          <w:tcPr>
            <w:tcW w:w="7410" w:type="dxa"/>
            <w:tcBorders>
              <w:top w:val="nil"/>
              <w:left w:val="nil"/>
              <w:bottom w:val="single" w:sz="4" w:space="0" w:color="auto"/>
              <w:right w:val="nil"/>
            </w:tcBorders>
            <w:tcMar>
              <w:left w:w="720" w:type="dxa"/>
            </w:tcMar>
            <w:vAlign w:val="bottom"/>
            <w:hideMark/>
          </w:tcPr>
          <w:p w14:paraId="20CB6B01" w14:textId="77777777" w:rsidR="002A7436" w:rsidRPr="00680C69" w:rsidRDefault="002A7436" w:rsidP="002A7436">
            <w:pPr>
              <w:rPr>
                <w:b/>
              </w:rPr>
            </w:pPr>
            <w:r w:rsidRPr="00680C69">
              <w:rPr>
                <w:b/>
              </w:rPr>
              <w:t>Full Name</w:t>
            </w:r>
          </w:p>
        </w:tc>
      </w:tr>
      <w:tr w:rsidR="002A7436" w14:paraId="0F368881" w14:textId="77777777" w:rsidTr="002A7436">
        <w:tc>
          <w:tcPr>
            <w:tcW w:w="2040" w:type="dxa"/>
            <w:tcBorders>
              <w:top w:val="single" w:sz="4" w:space="0" w:color="auto"/>
              <w:left w:val="nil"/>
              <w:bottom w:val="single" w:sz="4" w:space="0" w:color="auto"/>
              <w:right w:val="nil"/>
            </w:tcBorders>
          </w:tcPr>
          <w:p w14:paraId="195C6670" w14:textId="77777777" w:rsidR="002A7436" w:rsidRDefault="002A7436" w:rsidP="002A7436">
            <w:r>
              <w:t>ACIP</w:t>
            </w:r>
          </w:p>
        </w:tc>
        <w:tc>
          <w:tcPr>
            <w:tcW w:w="7410" w:type="dxa"/>
            <w:tcBorders>
              <w:top w:val="single" w:sz="4" w:space="0" w:color="auto"/>
              <w:left w:val="nil"/>
              <w:bottom w:val="single" w:sz="4" w:space="0" w:color="auto"/>
              <w:right w:val="nil"/>
            </w:tcBorders>
          </w:tcPr>
          <w:p w14:paraId="08D2849F" w14:textId="77777777" w:rsidR="002A7436" w:rsidRDefault="002A7436" w:rsidP="002A7436">
            <w:r>
              <w:t>Advisory Committee on Immunization Practices</w:t>
            </w:r>
          </w:p>
        </w:tc>
      </w:tr>
      <w:tr w:rsidR="002A7436" w14:paraId="698FBFAE" w14:textId="77777777" w:rsidTr="002A7436">
        <w:tc>
          <w:tcPr>
            <w:tcW w:w="2040" w:type="dxa"/>
            <w:tcBorders>
              <w:top w:val="single" w:sz="4" w:space="0" w:color="auto"/>
              <w:left w:val="nil"/>
              <w:bottom w:val="single" w:sz="4" w:space="0" w:color="auto"/>
              <w:right w:val="nil"/>
            </w:tcBorders>
          </w:tcPr>
          <w:p w14:paraId="3A1F6DF1" w14:textId="77777777" w:rsidR="002A7436" w:rsidRDefault="002A7436" w:rsidP="002A7436">
            <w:r>
              <w:t>AFIX</w:t>
            </w:r>
          </w:p>
        </w:tc>
        <w:tc>
          <w:tcPr>
            <w:tcW w:w="7410" w:type="dxa"/>
            <w:tcBorders>
              <w:top w:val="single" w:sz="4" w:space="0" w:color="auto"/>
              <w:left w:val="nil"/>
              <w:bottom w:val="single" w:sz="4" w:space="0" w:color="auto"/>
              <w:right w:val="nil"/>
            </w:tcBorders>
          </w:tcPr>
          <w:p w14:paraId="62C98F6A" w14:textId="77777777" w:rsidR="002A7436" w:rsidRDefault="002A7436" w:rsidP="002A7436">
            <w:r>
              <w:t>Assessment, Feedback, Incentives and eXchange</w:t>
            </w:r>
          </w:p>
        </w:tc>
      </w:tr>
      <w:tr w:rsidR="002A7436" w:rsidRPr="00761FF4" w14:paraId="28507C8B" w14:textId="77777777" w:rsidTr="002A7436">
        <w:tc>
          <w:tcPr>
            <w:tcW w:w="2040" w:type="dxa"/>
            <w:tcBorders>
              <w:top w:val="single" w:sz="4" w:space="0" w:color="auto"/>
              <w:left w:val="nil"/>
              <w:bottom w:val="single" w:sz="4" w:space="0" w:color="auto"/>
              <w:right w:val="nil"/>
            </w:tcBorders>
          </w:tcPr>
          <w:p w14:paraId="4AB95ECF" w14:textId="77777777" w:rsidR="002A7436" w:rsidRPr="00761FF4" w:rsidRDefault="002A7436" w:rsidP="002A7436">
            <w:r>
              <w:t>ASN</w:t>
            </w:r>
          </w:p>
        </w:tc>
        <w:tc>
          <w:tcPr>
            <w:tcW w:w="7410" w:type="dxa"/>
            <w:tcBorders>
              <w:top w:val="single" w:sz="4" w:space="0" w:color="auto"/>
              <w:left w:val="nil"/>
              <w:bottom w:val="single" w:sz="4" w:space="0" w:color="auto"/>
              <w:right w:val="nil"/>
            </w:tcBorders>
          </w:tcPr>
          <w:p w14:paraId="44771AEB" w14:textId="77777777" w:rsidR="002A7436" w:rsidRPr="001F096E" w:rsidRDefault="002A7436" w:rsidP="00D539E7">
            <w:r>
              <w:t xml:space="preserve">Adult Safety Net </w:t>
            </w:r>
          </w:p>
        </w:tc>
      </w:tr>
      <w:tr w:rsidR="002A7436" w:rsidRPr="00761FF4" w14:paraId="0E3C199D" w14:textId="77777777" w:rsidTr="002A7436">
        <w:tc>
          <w:tcPr>
            <w:tcW w:w="2040" w:type="dxa"/>
            <w:tcBorders>
              <w:top w:val="single" w:sz="4" w:space="0" w:color="auto"/>
              <w:left w:val="nil"/>
              <w:right w:val="nil"/>
            </w:tcBorders>
          </w:tcPr>
          <w:p w14:paraId="32C6ABCD" w14:textId="77777777" w:rsidR="002A7436" w:rsidRDefault="002A7436" w:rsidP="002A7436">
            <w:r>
              <w:t>CDC</w:t>
            </w:r>
          </w:p>
        </w:tc>
        <w:tc>
          <w:tcPr>
            <w:tcW w:w="7410" w:type="dxa"/>
            <w:tcBorders>
              <w:top w:val="single" w:sz="4" w:space="0" w:color="auto"/>
              <w:left w:val="nil"/>
              <w:right w:val="nil"/>
            </w:tcBorders>
          </w:tcPr>
          <w:p w14:paraId="0AB9A002" w14:textId="77777777" w:rsidR="002A7436" w:rsidRDefault="002A7436" w:rsidP="002A7436">
            <w:r>
              <w:t>Centers for Disease Control and Prevention</w:t>
            </w:r>
          </w:p>
        </w:tc>
      </w:tr>
      <w:tr w:rsidR="002A7436" w:rsidRPr="00761FF4" w14:paraId="6F22EAC5" w14:textId="77777777" w:rsidTr="002A7436">
        <w:tc>
          <w:tcPr>
            <w:tcW w:w="2040" w:type="dxa"/>
            <w:tcBorders>
              <w:top w:val="single" w:sz="4" w:space="0" w:color="auto"/>
              <w:left w:val="nil"/>
              <w:right w:val="nil"/>
            </w:tcBorders>
          </w:tcPr>
          <w:p w14:paraId="32AF47F2" w14:textId="77777777" w:rsidR="002A7436" w:rsidRDefault="002A7436" w:rsidP="002A7436">
            <w:r>
              <w:t>CHIP</w:t>
            </w:r>
          </w:p>
        </w:tc>
        <w:tc>
          <w:tcPr>
            <w:tcW w:w="7410" w:type="dxa"/>
            <w:tcBorders>
              <w:top w:val="single" w:sz="4" w:space="0" w:color="auto"/>
              <w:left w:val="nil"/>
              <w:right w:val="nil"/>
            </w:tcBorders>
          </w:tcPr>
          <w:p w14:paraId="0967D354" w14:textId="77777777" w:rsidR="002A7436" w:rsidRPr="001F096E" w:rsidRDefault="002A7436" w:rsidP="002A7436">
            <w:r>
              <w:t>Children’s Health Insurance Program</w:t>
            </w:r>
          </w:p>
        </w:tc>
      </w:tr>
      <w:tr w:rsidR="002A7436" w:rsidRPr="00761FF4" w14:paraId="45C13F9A" w14:textId="77777777" w:rsidTr="002A7436">
        <w:tc>
          <w:tcPr>
            <w:tcW w:w="2040" w:type="dxa"/>
            <w:tcBorders>
              <w:top w:val="single" w:sz="4" w:space="0" w:color="auto"/>
              <w:left w:val="nil"/>
              <w:bottom w:val="single" w:sz="4" w:space="0" w:color="auto"/>
              <w:right w:val="nil"/>
            </w:tcBorders>
          </w:tcPr>
          <w:p w14:paraId="29957CAE" w14:textId="77777777" w:rsidR="002A7436" w:rsidRDefault="002A7436" w:rsidP="002A7436">
            <w:r>
              <w:t>DSHS</w:t>
            </w:r>
          </w:p>
        </w:tc>
        <w:tc>
          <w:tcPr>
            <w:tcW w:w="7410" w:type="dxa"/>
            <w:tcBorders>
              <w:top w:val="single" w:sz="4" w:space="0" w:color="auto"/>
              <w:left w:val="nil"/>
              <w:bottom w:val="single" w:sz="4" w:space="0" w:color="auto"/>
              <w:right w:val="nil"/>
            </w:tcBorders>
          </w:tcPr>
          <w:p w14:paraId="66DCF574" w14:textId="77777777" w:rsidR="002A7436" w:rsidRDefault="002A7436" w:rsidP="002A7436">
            <w:r>
              <w:t>Department of State Health Services</w:t>
            </w:r>
          </w:p>
        </w:tc>
      </w:tr>
      <w:tr w:rsidR="002A7436" w:rsidRPr="00761FF4" w14:paraId="24E77B9A" w14:textId="77777777" w:rsidTr="002A7436">
        <w:tc>
          <w:tcPr>
            <w:tcW w:w="2040" w:type="dxa"/>
            <w:tcBorders>
              <w:top w:val="single" w:sz="4" w:space="0" w:color="auto"/>
              <w:left w:val="nil"/>
              <w:right w:val="nil"/>
            </w:tcBorders>
          </w:tcPr>
          <w:p w14:paraId="21B1D655" w14:textId="77777777" w:rsidR="002A7436" w:rsidRDefault="002A7436" w:rsidP="002A7436">
            <w:r>
              <w:t>DTaP</w:t>
            </w:r>
          </w:p>
        </w:tc>
        <w:tc>
          <w:tcPr>
            <w:tcW w:w="7410" w:type="dxa"/>
            <w:tcBorders>
              <w:top w:val="single" w:sz="4" w:space="0" w:color="auto"/>
              <w:left w:val="nil"/>
              <w:right w:val="nil"/>
            </w:tcBorders>
          </w:tcPr>
          <w:p w14:paraId="3E78371F" w14:textId="77777777" w:rsidR="002A7436" w:rsidRDefault="002A7436" w:rsidP="002A7436">
            <w:r>
              <w:t>Diphtheria, Tetanus, and Acellular Pertussis</w:t>
            </w:r>
          </w:p>
        </w:tc>
      </w:tr>
      <w:tr w:rsidR="002A7436" w:rsidRPr="00761FF4" w14:paraId="037B322B" w14:textId="77777777" w:rsidTr="002A7436">
        <w:tc>
          <w:tcPr>
            <w:tcW w:w="2040" w:type="dxa"/>
            <w:tcBorders>
              <w:top w:val="single" w:sz="4" w:space="0" w:color="auto"/>
              <w:left w:val="nil"/>
              <w:right w:val="nil"/>
            </w:tcBorders>
          </w:tcPr>
          <w:p w14:paraId="5F7D8687" w14:textId="77777777" w:rsidR="002A7436" w:rsidRDefault="002A7436" w:rsidP="002A7436">
            <w:r>
              <w:t>EHR</w:t>
            </w:r>
          </w:p>
        </w:tc>
        <w:tc>
          <w:tcPr>
            <w:tcW w:w="7410" w:type="dxa"/>
            <w:tcBorders>
              <w:top w:val="single" w:sz="4" w:space="0" w:color="auto"/>
              <w:left w:val="nil"/>
              <w:right w:val="nil"/>
            </w:tcBorders>
          </w:tcPr>
          <w:p w14:paraId="6D9EE319" w14:textId="77777777" w:rsidR="002A7436" w:rsidRDefault="002A7436" w:rsidP="002A7436">
            <w:r>
              <w:t>Electronic Health Record</w:t>
            </w:r>
          </w:p>
        </w:tc>
      </w:tr>
      <w:tr w:rsidR="002A7436" w:rsidRPr="00761FF4" w14:paraId="1EC417E0" w14:textId="77777777" w:rsidTr="002A7436">
        <w:tc>
          <w:tcPr>
            <w:tcW w:w="2040" w:type="dxa"/>
            <w:tcBorders>
              <w:top w:val="single" w:sz="4" w:space="0" w:color="auto"/>
              <w:left w:val="nil"/>
              <w:right w:val="nil"/>
            </w:tcBorders>
          </w:tcPr>
          <w:p w14:paraId="2840474E" w14:textId="77777777" w:rsidR="002A7436" w:rsidRDefault="002A7436" w:rsidP="002A7436">
            <w:r>
              <w:t>FQHC</w:t>
            </w:r>
          </w:p>
        </w:tc>
        <w:tc>
          <w:tcPr>
            <w:tcW w:w="7410" w:type="dxa"/>
            <w:tcBorders>
              <w:top w:val="single" w:sz="4" w:space="0" w:color="auto"/>
              <w:left w:val="nil"/>
              <w:right w:val="nil"/>
            </w:tcBorders>
          </w:tcPr>
          <w:p w14:paraId="44FC5134" w14:textId="77777777" w:rsidR="002A7436" w:rsidRDefault="002A7436" w:rsidP="002A7436">
            <w:r>
              <w:t>Federally Qualified Health Center</w:t>
            </w:r>
          </w:p>
        </w:tc>
      </w:tr>
      <w:tr w:rsidR="002A7436" w:rsidRPr="00761FF4" w14:paraId="0D6E5CE2" w14:textId="77777777" w:rsidTr="002A7436">
        <w:tc>
          <w:tcPr>
            <w:tcW w:w="2040" w:type="dxa"/>
            <w:tcBorders>
              <w:top w:val="single" w:sz="4" w:space="0" w:color="auto"/>
              <w:left w:val="nil"/>
              <w:bottom w:val="single" w:sz="4" w:space="0" w:color="auto"/>
              <w:right w:val="nil"/>
            </w:tcBorders>
          </w:tcPr>
          <w:p w14:paraId="63D4BA00" w14:textId="77777777" w:rsidR="002A7436" w:rsidRDefault="002A7436" w:rsidP="002A7436">
            <w:r>
              <w:t>HHSC</w:t>
            </w:r>
          </w:p>
        </w:tc>
        <w:tc>
          <w:tcPr>
            <w:tcW w:w="7410" w:type="dxa"/>
            <w:tcBorders>
              <w:top w:val="single" w:sz="4" w:space="0" w:color="auto"/>
              <w:left w:val="nil"/>
              <w:bottom w:val="single" w:sz="4" w:space="0" w:color="auto"/>
              <w:right w:val="nil"/>
            </w:tcBorders>
          </w:tcPr>
          <w:p w14:paraId="72F072BB" w14:textId="77777777" w:rsidR="002A7436" w:rsidRDefault="002A7436" w:rsidP="002A7436">
            <w:r>
              <w:t>Health and Human Services Commission</w:t>
            </w:r>
          </w:p>
        </w:tc>
      </w:tr>
      <w:tr w:rsidR="002A7436" w:rsidRPr="00761FF4" w14:paraId="7EBA13F3" w14:textId="77777777" w:rsidTr="002A7436">
        <w:tc>
          <w:tcPr>
            <w:tcW w:w="2040" w:type="dxa"/>
            <w:tcBorders>
              <w:top w:val="single" w:sz="4" w:space="0" w:color="auto"/>
              <w:left w:val="nil"/>
              <w:bottom w:val="single" w:sz="4" w:space="0" w:color="auto"/>
              <w:right w:val="nil"/>
            </w:tcBorders>
          </w:tcPr>
          <w:p w14:paraId="5DEE01C6" w14:textId="77777777" w:rsidR="002A7436" w:rsidRDefault="002A7436" w:rsidP="002A7436">
            <w:r>
              <w:t>Hib</w:t>
            </w:r>
          </w:p>
        </w:tc>
        <w:tc>
          <w:tcPr>
            <w:tcW w:w="7410" w:type="dxa"/>
            <w:tcBorders>
              <w:top w:val="single" w:sz="4" w:space="0" w:color="auto"/>
              <w:left w:val="nil"/>
              <w:bottom w:val="single" w:sz="4" w:space="0" w:color="auto"/>
              <w:right w:val="nil"/>
            </w:tcBorders>
          </w:tcPr>
          <w:p w14:paraId="0EC6E133" w14:textId="77777777" w:rsidR="002A7436" w:rsidRDefault="002A7436" w:rsidP="002A7436">
            <w:r w:rsidRPr="00467E20">
              <w:rPr>
                <w:i/>
              </w:rPr>
              <w:t>Haemophilus influenzae</w:t>
            </w:r>
            <w:r>
              <w:t xml:space="preserve"> type B</w:t>
            </w:r>
          </w:p>
        </w:tc>
      </w:tr>
      <w:tr w:rsidR="002A7436" w:rsidRPr="00761FF4" w14:paraId="5DDF09C8" w14:textId="77777777" w:rsidTr="002A7436">
        <w:tc>
          <w:tcPr>
            <w:tcW w:w="2040" w:type="dxa"/>
            <w:tcBorders>
              <w:top w:val="single" w:sz="4" w:space="0" w:color="auto"/>
              <w:left w:val="nil"/>
              <w:right w:val="nil"/>
            </w:tcBorders>
          </w:tcPr>
          <w:p w14:paraId="439C5AD9" w14:textId="77777777" w:rsidR="002A7436" w:rsidRDefault="002A7436" w:rsidP="002A7436">
            <w:r>
              <w:t>HL7</w:t>
            </w:r>
          </w:p>
        </w:tc>
        <w:tc>
          <w:tcPr>
            <w:tcW w:w="7410" w:type="dxa"/>
            <w:tcBorders>
              <w:top w:val="single" w:sz="4" w:space="0" w:color="auto"/>
              <w:left w:val="nil"/>
              <w:right w:val="nil"/>
            </w:tcBorders>
          </w:tcPr>
          <w:p w14:paraId="6055FD30" w14:textId="77777777" w:rsidR="002A7436" w:rsidRDefault="002A7436" w:rsidP="002A7436">
            <w:r>
              <w:t>Health Level 7</w:t>
            </w:r>
          </w:p>
        </w:tc>
      </w:tr>
      <w:tr w:rsidR="002A7436" w:rsidRPr="00761FF4" w14:paraId="3772632F" w14:textId="77777777" w:rsidTr="002A7436">
        <w:tc>
          <w:tcPr>
            <w:tcW w:w="2040" w:type="dxa"/>
            <w:tcBorders>
              <w:top w:val="single" w:sz="4" w:space="0" w:color="auto"/>
              <w:left w:val="nil"/>
              <w:right w:val="nil"/>
            </w:tcBorders>
          </w:tcPr>
          <w:p w14:paraId="50871459" w14:textId="77777777" w:rsidR="002A7436" w:rsidRDefault="002A7436" w:rsidP="002A7436">
            <w:r>
              <w:t>HPV</w:t>
            </w:r>
          </w:p>
        </w:tc>
        <w:tc>
          <w:tcPr>
            <w:tcW w:w="7410" w:type="dxa"/>
            <w:tcBorders>
              <w:top w:val="single" w:sz="4" w:space="0" w:color="auto"/>
              <w:left w:val="nil"/>
              <w:right w:val="nil"/>
            </w:tcBorders>
          </w:tcPr>
          <w:p w14:paraId="69247A3D" w14:textId="77777777" w:rsidR="002A7436" w:rsidRDefault="002A7436" w:rsidP="002A7436">
            <w:r>
              <w:t>Human papillomavirus</w:t>
            </w:r>
          </w:p>
        </w:tc>
      </w:tr>
      <w:tr w:rsidR="002A7436" w:rsidRPr="00761FF4" w14:paraId="1BBFDFA9" w14:textId="77777777" w:rsidTr="002A7436">
        <w:tc>
          <w:tcPr>
            <w:tcW w:w="2040" w:type="dxa"/>
            <w:tcBorders>
              <w:top w:val="single" w:sz="4" w:space="0" w:color="auto"/>
              <w:left w:val="nil"/>
              <w:right w:val="nil"/>
            </w:tcBorders>
          </w:tcPr>
          <w:p w14:paraId="03AEFD2A" w14:textId="77777777" w:rsidR="002A7436" w:rsidRDefault="002A7436" w:rsidP="002A7436">
            <w:r>
              <w:t>LHD</w:t>
            </w:r>
          </w:p>
        </w:tc>
        <w:tc>
          <w:tcPr>
            <w:tcW w:w="7410" w:type="dxa"/>
            <w:tcBorders>
              <w:top w:val="single" w:sz="4" w:space="0" w:color="auto"/>
              <w:left w:val="nil"/>
              <w:right w:val="nil"/>
            </w:tcBorders>
          </w:tcPr>
          <w:p w14:paraId="6B32ED20" w14:textId="77777777" w:rsidR="002A7436" w:rsidRDefault="002A7436" w:rsidP="002A7436">
            <w:r>
              <w:t>Local Health Department</w:t>
            </w:r>
          </w:p>
        </w:tc>
      </w:tr>
      <w:tr w:rsidR="002A7436" w:rsidRPr="00761FF4" w14:paraId="4F698988" w14:textId="77777777" w:rsidTr="002A7436">
        <w:tc>
          <w:tcPr>
            <w:tcW w:w="2040" w:type="dxa"/>
            <w:tcBorders>
              <w:top w:val="single" w:sz="4" w:space="0" w:color="auto"/>
              <w:left w:val="nil"/>
              <w:right w:val="nil"/>
            </w:tcBorders>
          </w:tcPr>
          <w:p w14:paraId="2AF413C3" w14:textId="77777777" w:rsidR="002A7436" w:rsidRDefault="002A7436" w:rsidP="002A7436">
            <w:r>
              <w:t>MenACWY</w:t>
            </w:r>
          </w:p>
        </w:tc>
        <w:tc>
          <w:tcPr>
            <w:tcW w:w="7410" w:type="dxa"/>
            <w:tcBorders>
              <w:top w:val="single" w:sz="4" w:space="0" w:color="auto"/>
              <w:left w:val="nil"/>
              <w:right w:val="nil"/>
            </w:tcBorders>
          </w:tcPr>
          <w:p w14:paraId="70A6F09C" w14:textId="77777777" w:rsidR="002A7436" w:rsidRDefault="002A7436" w:rsidP="002A7436">
            <w:r>
              <w:t>Meningococcal Serogroups A, C, W, and Y</w:t>
            </w:r>
          </w:p>
        </w:tc>
      </w:tr>
      <w:tr w:rsidR="002A7436" w:rsidRPr="00761FF4" w14:paraId="701BC5FE" w14:textId="77777777" w:rsidTr="002A7436">
        <w:tc>
          <w:tcPr>
            <w:tcW w:w="2040" w:type="dxa"/>
            <w:tcBorders>
              <w:top w:val="single" w:sz="4" w:space="0" w:color="auto"/>
              <w:left w:val="nil"/>
              <w:bottom w:val="single" w:sz="4" w:space="0" w:color="auto"/>
              <w:right w:val="nil"/>
            </w:tcBorders>
          </w:tcPr>
          <w:p w14:paraId="1ECDFFCC" w14:textId="77777777" w:rsidR="002A7436" w:rsidRDefault="002A7436" w:rsidP="002A7436">
            <w:r>
              <w:lastRenderedPageBreak/>
              <w:t>NIS</w:t>
            </w:r>
          </w:p>
        </w:tc>
        <w:tc>
          <w:tcPr>
            <w:tcW w:w="7410" w:type="dxa"/>
            <w:tcBorders>
              <w:top w:val="single" w:sz="4" w:space="0" w:color="auto"/>
              <w:left w:val="nil"/>
              <w:bottom w:val="single" w:sz="4" w:space="0" w:color="auto"/>
              <w:right w:val="nil"/>
            </w:tcBorders>
          </w:tcPr>
          <w:p w14:paraId="5FDB0355" w14:textId="77777777" w:rsidR="002A7436" w:rsidRDefault="002A7436" w:rsidP="002A7436">
            <w:r>
              <w:t>National Immunization Survey</w:t>
            </w:r>
          </w:p>
        </w:tc>
      </w:tr>
      <w:tr w:rsidR="002A7436" w:rsidRPr="00761FF4" w14:paraId="21B2A1B5" w14:textId="77777777" w:rsidTr="002A7436">
        <w:tc>
          <w:tcPr>
            <w:tcW w:w="2040" w:type="dxa"/>
            <w:tcBorders>
              <w:top w:val="single" w:sz="4" w:space="0" w:color="auto"/>
              <w:left w:val="nil"/>
              <w:bottom w:val="single" w:sz="4" w:space="0" w:color="auto"/>
              <w:right w:val="nil"/>
            </w:tcBorders>
          </w:tcPr>
          <w:p w14:paraId="7487939C" w14:textId="77777777" w:rsidR="002A7436" w:rsidRDefault="002A7436" w:rsidP="002A7436">
            <w:r>
              <w:t>PCV</w:t>
            </w:r>
          </w:p>
        </w:tc>
        <w:tc>
          <w:tcPr>
            <w:tcW w:w="7410" w:type="dxa"/>
            <w:tcBorders>
              <w:top w:val="single" w:sz="4" w:space="0" w:color="auto"/>
              <w:left w:val="nil"/>
              <w:bottom w:val="single" w:sz="4" w:space="0" w:color="auto"/>
              <w:right w:val="nil"/>
            </w:tcBorders>
          </w:tcPr>
          <w:p w14:paraId="1036CF12" w14:textId="77777777" w:rsidR="002A7436" w:rsidRDefault="002A7436" w:rsidP="002A7436">
            <w:r>
              <w:t>Pneumococcal Conjugate Vaccine</w:t>
            </w:r>
          </w:p>
        </w:tc>
      </w:tr>
      <w:tr w:rsidR="002A7436" w:rsidRPr="00761FF4" w14:paraId="5315B033" w14:textId="77777777" w:rsidTr="002A7436">
        <w:tc>
          <w:tcPr>
            <w:tcW w:w="2040" w:type="dxa"/>
            <w:tcBorders>
              <w:top w:val="single" w:sz="4" w:space="0" w:color="auto"/>
              <w:left w:val="nil"/>
              <w:bottom w:val="single" w:sz="4" w:space="0" w:color="auto"/>
              <w:right w:val="nil"/>
            </w:tcBorders>
          </w:tcPr>
          <w:p w14:paraId="5CF2711F" w14:textId="77777777" w:rsidR="002A7436" w:rsidRDefault="002A7436" w:rsidP="002A7436">
            <w:r>
              <w:t>PHR</w:t>
            </w:r>
          </w:p>
        </w:tc>
        <w:tc>
          <w:tcPr>
            <w:tcW w:w="7410" w:type="dxa"/>
            <w:tcBorders>
              <w:top w:val="single" w:sz="4" w:space="0" w:color="auto"/>
              <w:left w:val="nil"/>
              <w:bottom w:val="single" w:sz="4" w:space="0" w:color="auto"/>
              <w:right w:val="nil"/>
            </w:tcBorders>
          </w:tcPr>
          <w:p w14:paraId="5BEAA054" w14:textId="77777777" w:rsidR="002A7436" w:rsidRDefault="002A7436" w:rsidP="002A7436">
            <w:r>
              <w:t>Public Health Region</w:t>
            </w:r>
          </w:p>
        </w:tc>
      </w:tr>
      <w:tr w:rsidR="002A7436" w14:paraId="07124B8F" w14:textId="77777777" w:rsidTr="002A7436">
        <w:tc>
          <w:tcPr>
            <w:tcW w:w="2040" w:type="dxa"/>
            <w:tcBorders>
              <w:top w:val="single" w:sz="4" w:space="0" w:color="auto"/>
              <w:left w:val="nil"/>
              <w:bottom w:val="single" w:sz="4" w:space="0" w:color="auto"/>
              <w:right w:val="nil"/>
            </w:tcBorders>
          </w:tcPr>
          <w:p w14:paraId="02156DC5" w14:textId="77777777" w:rsidR="002A7436" w:rsidRDefault="002A7436" w:rsidP="002A7436">
            <w:bookmarkStart w:id="33" w:name="_Adjust_the_Features"/>
            <w:bookmarkEnd w:id="33"/>
            <w:r>
              <w:t>RHC</w:t>
            </w:r>
          </w:p>
        </w:tc>
        <w:tc>
          <w:tcPr>
            <w:tcW w:w="7410" w:type="dxa"/>
            <w:tcBorders>
              <w:top w:val="single" w:sz="4" w:space="0" w:color="auto"/>
              <w:left w:val="nil"/>
              <w:bottom w:val="single" w:sz="4" w:space="0" w:color="auto"/>
              <w:right w:val="nil"/>
            </w:tcBorders>
          </w:tcPr>
          <w:p w14:paraId="0B20DEDC" w14:textId="77777777" w:rsidR="002A7436" w:rsidRDefault="002A7436" w:rsidP="002A7436">
            <w:r>
              <w:t>Rural Health Clinic</w:t>
            </w:r>
          </w:p>
        </w:tc>
      </w:tr>
      <w:tr w:rsidR="002A7436" w14:paraId="579A41FB" w14:textId="77777777" w:rsidTr="002A7436">
        <w:tc>
          <w:tcPr>
            <w:tcW w:w="2040" w:type="dxa"/>
            <w:tcBorders>
              <w:top w:val="single" w:sz="4" w:space="0" w:color="auto"/>
              <w:left w:val="nil"/>
              <w:bottom w:val="single" w:sz="4" w:space="0" w:color="auto"/>
              <w:right w:val="nil"/>
            </w:tcBorders>
          </w:tcPr>
          <w:p w14:paraId="63E968CE" w14:textId="77777777" w:rsidR="002A7436" w:rsidRDefault="002A7436" w:rsidP="002A7436">
            <w:r>
              <w:t>Tdap</w:t>
            </w:r>
          </w:p>
        </w:tc>
        <w:tc>
          <w:tcPr>
            <w:tcW w:w="7410" w:type="dxa"/>
            <w:tcBorders>
              <w:top w:val="single" w:sz="4" w:space="0" w:color="auto"/>
              <w:left w:val="nil"/>
              <w:bottom w:val="single" w:sz="4" w:space="0" w:color="auto"/>
              <w:right w:val="nil"/>
            </w:tcBorders>
          </w:tcPr>
          <w:p w14:paraId="0C669CCE" w14:textId="77777777" w:rsidR="002A7436" w:rsidRDefault="002A7436" w:rsidP="002A7436">
            <w:r>
              <w:t>Tetanus, Diphtheria, and Acellular Pertussis</w:t>
            </w:r>
          </w:p>
        </w:tc>
      </w:tr>
      <w:tr w:rsidR="00D91CBD" w14:paraId="4A6A4D19" w14:textId="77777777" w:rsidTr="002A7436">
        <w:tc>
          <w:tcPr>
            <w:tcW w:w="2040" w:type="dxa"/>
            <w:tcBorders>
              <w:top w:val="single" w:sz="4" w:space="0" w:color="auto"/>
              <w:left w:val="nil"/>
              <w:bottom w:val="single" w:sz="4" w:space="0" w:color="auto"/>
              <w:right w:val="nil"/>
            </w:tcBorders>
          </w:tcPr>
          <w:p w14:paraId="53E22E65" w14:textId="77777777" w:rsidR="00D91CBD" w:rsidRDefault="00D91CBD" w:rsidP="002A7436">
            <w:r>
              <w:t>TIP</w:t>
            </w:r>
          </w:p>
        </w:tc>
        <w:tc>
          <w:tcPr>
            <w:tcW w:w="7410" w:type="dxa"/>
            <w:tcBorders>
              <w:top w:val="single" w:sz="4" w:space="0" w:color="auto"/>
              <w:left w:val="nil"/>
              <w:bottom w:val="single" w:sz="4" w:space="0" w:color="auto"/>
              <w:right w:val="nil"/>
            </w:tcBorders>
          </w:tcPr>
          <w:p w14:paraId="271ACE55" w14:textId="77777777" w:rsidR="00D91CBD" w:rsidRDefault="00D91CBD" w:rsidP="002A7436">
            <w:r>
              <w:t>Texas Immunization Partnership</w:t>
            </w:r>
          </w:p>
        </w:tc>
      </w:tr>
      <w:tr w:rsidR="002A7436" w14:paraId="3B0CE5B4" w14:textId="77777777" w:rsidTr="002A7436">
        <w:tc>
          <w:tcPr>
            <w:tcW w:w="2040" w:type="dxa"/>
            <w:tcBorders>
              <w:top w:val="single" w:sz="4" w:space="0" w:color="auto"/>
              <w:left w:val="nil"/>
              <w:bottom w:val="single" w:sz="4" w:space="0" w:color="auto"/>
              <w:right w:val="nil"/>
            </w:tcBorders>
          </w:tcPr>
          <w:p w14:paraId="6B1C9717" w14:textId="77777777" w:rsidR="002A7436" w:rsidRDefault="002A7436" w:rsidP="002A7436">
            <w:r>
              <w:t>TISWG</w:t>
            </w:r>
          </w:p>
        </w:tc>
        <w:tc>
          <w:tcPr>
            <w:tcW w:w="7410" w:type="dxa"/>
            <w:tcBorders>
              <w:top w:val="single" w:sz="4" w:space="0" w:color="auto"/>
              <w:left w:val="nil"/>
              <w:bottom w:val="single" w:sz="4" w:space="0" w:color="auto"/>
              <w:right w:val="nil"/>
            </w:tcBorders>
          </w:tcPr>
          <w:p w14:paraId="42DD337C" w14:textId="77777777" w:rsidR="002A7436" w:rsidRDefault="002A7436" w:rsidP="002A7436">
            <w:r>
              <w:t>Texas Immunization Stakeholder Working Group</w:t>
            </w:r>
          </w:p>
        </w:tc>
      </w:tr>
      <w:tr w:rsidR="002A7436" w14:paraId="233CB550" w14:textId="77777777" w:rsidTr="002A7436">
        <w:tc>
          <w:tcPr>
            <w:tcW w:w="2040" w:type="dxa"/>
            <w:tcBorders>
              <w:top w:val="single" w:sz="4" w:space="0" w:color="auto"/>
              <w:left w:val="nil"/>
              <w:bottom w:val="single" w:sz="4" w:space="0" w:color="auto"/>
              <w:right w:val="nil"/>
            </w:tcBorders>
          </w:tcPr>
          <w:p w14:paraId="78D4F311" w14:textId="77777777" w:rsidR="002A7436" w:rsidRDefault="002A7436" w:rsidP="002A7436">
            <w:r>
              <w:t>TVFC</w:t>
            </w:r>
          </w:p>
        </w:tc>
        <w:tc>
          <w:tcPr>
            <w:tcW w:w="7410" w:type="dxa"/>
            <w:tcBorders>
              <w:top w:val="single" w:sz="4" w:space="0" w:color="auto"/>
              <w:left w:val="nil"/>
              <w:bottom w:val="single" w:sz="4" w:space="0" w:color="auto"/>
              <w:right w:val="nil"/>
            </w:tcBorders>
          </w:tcPr>
          <w:p w14:paraId="1C7DDAB9" w14:textId="77777777" w:rsidR="002A7436" w:rsidRDefault="002A7436" w:rsidP="00D539E7">
            <w:r>
              <w:t xml:space="preserve">Texas Vaccines for Children </w:t>
            </w:r>
          </w:p>
        </w:tc>
      </w:tr>
      <w:tr w:rsidR="002A7436" w14:paraId="4498AA54" w14:textId="77777777" w:rsidTr="002A7436">
        <w:tc>
          <w:tcPr>
            <w:tcW w:w="2040" w:type="dxa"/>
            <w:tcBorders>
              <w:top w:val="single" w:sz="4" w:space="0" w:color="auto"/>
              <w:left w:val="nil"/>
              <w:bottom w:val="single" w:sz="4" w:space="0" w:color="auto"/>
              <w:right w:val="nil"/>
            </w:tcBorders>
          </w:tcPr>
          <w:p w14:paraId="6B048A30" w14:textId="77777777" w:rsidR="002A7436" w:rsidRDefault="002A7436" w:rsidP="002A7436">
            <w:r>
              <w:t>VEO</w:t>
            </w:r>
          </w:p>
        </w:tc>
        <w:tc>
          <w:tcPr>
            <w:tcW w:w="7410" w:type="dxa"/>
            <w:tcBorders>
              <w:top w:val="single" w:sz="4" w:space="0" w:color="auto"/>
              <w:left w:val="nil"/>
              <w:bottom w:val="single" w:sz="4" w:space="0" w:color="auto"/>
              <w:right w:val="nil"/>
            </w:tcBorders>
          </w:tcPr>
          <w:p w14:paraId="28364242" w14:textId="77777777" w:rsidR="002A7436" w:rsidRDefault="002A7436" w:rsidP="002A7436">
            <w:r>
              <w:t>Vaccine Education Online</w:t>
            </w:r>
          </w:p>
        </w:tc>
      </w:tr>
      <w:tr w:rsidR="00D91CBD" w14:paraId="785EB62E" w14:textId="77777777" w:rsidTr="002A7436">
        <w:tc>
          <w:tcPr>
            <w:tcW w:w="2040" w:type="dxa"/>
            <w:tcBorders>
              <w:top w:val="single" w:sz="4" w:space="0" w:color="auto"/>
              <w:left w:val="nil"/>
              <w:bottom w:val="single" w:sz="4" w:space="0" w:color="auto"/>
              <w:right w:val="nil"/>
            </w:tcBorders>
          </w:tcPr>
          <w:p w14:paraId="2FCB35E1" w14:textId="77777777" w:rsidR="00D91CBD" w:rsidRDefault="00D91CBD" w:rsidP="002A7436">
            <w:r>
              <w:t>VPD</w:t>
            </w:r>
          </w:p>
        </w:tc>
        <w:tc>
          <w:tcPr>
            <w:tcW w:w="7410" w:type="dxa"/>
            <w:tcBorders>
              <w:top w:val="single" w:sz="4" w:space="0" w:color="auto"/>
              <w:left w:val="nil"/>
              <w:bottom w:val="single" w:sz="4" w:space="0" w:color="auto"/>
              <w:right w:val="nil"/>
            </w:tcBorders>
          </w:tcPr>
          <w:p w14:paraId="21DEB8A7" w14:textId="77777777" w:rsidR="00D91CBD" w:rsidRDefault="00D91CBD" w:rsidP="002A7436">
            <w:r>
              <w:t>Vaccine-Preventable Disease</w:t>
            </w:r>
          </w:p>
        </w:tc>
      </w:tr>
    </w:tbl>
    <w:p w14:paraId="648008E8" w14:textId="77777777" w:rsidR="008F3CA8" w:rsidRDefault="008F3CA8" w:rsidP="0028234C">
      <w:pPr>
        <w:pStyle w:val="BodyTextafterheading"/>
      </w:pPr>
    </w:p>
    <w:p w14:paraId="1EE29269" w14:textId="77777777" w:rsidR="0008593F" w:rsidRPr="00A32B87" w:rsidRDefault="0008593F" w:rsidP="00ED7841">
      <w:pPr>
        <w:pStyle w:val="BodyText"/>
      </w:pPr>
      <w:bookmarkStart w:id="34" w:name="AppendixA"/>
      <w:bookmarkStart w:id="35" w:name="AppendixB"/>
      <w:bookmarkStart w:id="36" w:name="AppendixC"/>
      <w:bookmarkStart w:id="37" w:name="AppendixD"/>
      <w:bookmarkStart w:id="38" w:name="AppendixE"/>
      <w:bookmarkStart w:id="39" w:name="AppendixF"/>
      <w:bookmarkEnd w:id="34"/>
      <w:bookmarkEnd w:id="35"/>
      <w:bookmarkEnd w:id="36"/>
      <w:bookmarkEnd w:id="37"/>
      <w:bookmarkEnd w:id="38"/>
      <w:bookmarkEnd w:id="39"/>
    </w:p>
    <w:sectPr w:rsidR="0008593F" w:rsidRPr="00A32B87" w:rsidSect="000A0AAE">
      <w:footerReference w:type="default" r:id="rId30"/>
      <w:pgSz w:w="12240" w:h="15840"/>
      <w:pgMar w:top="1800" w:right="1440" w:bottom="1440" w:left="1440" w:header="200" w:footer="720"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A0321C" w16cid:durableId="1F086888"/>
  <w16cid:commentId w16cid:paraId="15D482F8" w16cid:durableId="1F086889"/>
  <w16cid:commentId w16cid:paraId="3A9E97A1" w16cid:durableId="1F08688A"/>
  <w16cid:commentId w16cid:paraId="5DBCD60E" w16cid:durableId="1F08688B"/>
  <w16cid:commentId w16cid:paraId="08CCB465" w16cid:durableId="1F08688C"/>
  <w16cid:commentId w16cid:paraId="17DD26DB" w16cid:durableId="1F08688D"/>
  <w16cid:commentId w16cid:paraId="128A17BA" w16cid:durableId="1F08688E"/>
  <w16cid:commentId w16cid:paraId="4AC0ACC7" w16cid:durableId="1F08688F"/>
  <w16cid:commentId w16cid:paraId="6A9A4F77" w16cid:durableId="1F086890"/>
  <w16cid:commentId w16cid:paraId="783DD252" w16cid:durableId="1F086891"/>
  <w16cid:commentId w16cid:paraId="40506D02" w16cid:durableId="1F086892"/>
  <w16cid:commentId w16cid:paraId="422F9D28" w16cid:durableId="1F086893"/>
  <w16cid:commentId w16cid:paraId="782C0496" w16cid:durableId="1F086894"/>
  <w16cid:commentId w16cid:paraId="520F10A3" w16cid:durableId="1F086895"/>
  <w16cid:commentId w16cid:paraId="42499D13" w16cid:durableId="1F086896"/>
  <w16cid:commentId w16cid:paraId="1C068CF5" w16cid:durableId="1F086897"/>
  <w16cid:commentId w16cid:paraId="5BD85028" w16cid:durableId="1F086898"/>
  <w16cid:commentId w16cid:paraId="0BD70CAB" w16cid:durableId="1F086899"/>
  <w16cid:commentId w16cid:paraId="1F689B10" w16cid:durableId="1F08689A"/>
  <w16cid:commentId w16cid:paraId="1A72FE74" w16cid:durableId="1F08689B"/>
  <w16cid:commentId w16cid:paraId="5527656E" w16cid:durableId="1F08689C"/>
  <w16cid:commentId w16cid:paraId="603B6D0E" w16cid:durableId="1F08689D"/>
  <w16cid:commentId w16cid:paraId="71BDF901" w16cid:durableId="1F08689E"/>
  <w16cid:commentId w16cid:paraId="51F64422" w16cid:durableId="1F08689F"/>
  <w16cid:commentId w16cid:paraId="101813DD" w16cid:durableId="1F0868A0"/>
  <w16cid:commentId w16cid:paraId="069C5B21" w16cid:durableId="1F086D36"/>
  <w16cid:commentId w16cid:paraId="46D874E9" w16cid:durableId="1F0868A1"/>
  <w16cid:commentId w16cid:paraId="44AEE627" w16cid:durableId="1F0868A2"/>
  <w16cid:commentId w16cid:paraId="57F6E209" w16cid:durableId="1F086E30"/>
  <w16cid:commentId w16cid:paraId="5F5E5283" w16cid:durableId="1F0868A3"/>
  <w16cid:commentId w16cid:paraId="6096110F" w16cid:durableId="1F0868A4"/>
  <w16cid:commentId w16cid:paraId="5C041DB9" w16cid:durableId="1F0868A5"/>
  <w16cid:commentId w16cid:paraId="7364E97D" w16cid:durableId="1F0868A6"/>
  <w16cid:commentId w16cid:paraId="2CA37C5F" w16cid:durableId="1F0868A7"/>
  <w16cid:commentId w16cid:paraId="07A652DF" w16cid:durableId="1F0868A8"/>
  <w16cid:commentId w16cid:paraId="311944D5" w16cid:durableId="1F0868A9"/>
  <w16cid:commentId w16cid:paraId="6158877B" w16cid:durableId="1F0868AA"/>
  <w16cid:commentId w16cid:paraId="796E323D" w16cid:durableId="1F0868AB"/>
  <w16cid:commentId w16cid:paraId="4EA8C163" w16cid:durableId="1F0868AC"/>
  <w16cid:commentId w16cid:paraId="4078239D" w16cid:durableId="1F0868AD"/>
  <w16cid:commentId w16cid:paraId="5641DEB3" w16cid:durableId="1F0868AE"/>
  <w16cid:commentId w16cid:paraId="5C44B861" w16cid:durableId="1EF356E7"/>
  <w16cid:commentId w16cid:paraId="71700A32" w16cid:durableId="1F0868B0"/>
  <w16cid:commentId w16cid:paraId="32AFC55E" w16cid:durableId="1F0868B1"/>
  <w16cid:commentId w16cid:paraId="3B97F03C" w16cid:durableId="1F0868B2"/>
  <w16cid:commentId w16cid:paraId="69AE8EC1" w16cid:durableId="1F0868B3"/>
  <w16cid:commentId w16cid:paraId="6EADF6EC" w16cid:durableId="1F0868B4"/>
  <w16cid:commentId w16cid:paraId="34227178" w16cid:durableId="1F0868B5"/>
  <w16cid:commentId w16cid:paraId="1F946E34" w16cid:durableId="1F0868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026BD" w14:textId="77777777" w:rsidR="00611CCA" w:rsidRDefault="00611CCA" w:rsidP="005C02F5">
      <w:pPr>
        <w:spacing w:line="240" w:lineRule="auto"/>
      </w:pPr>
      <w:r>
        <w:separator/>
      </w:r>
    </w:p>
  </w:endnote>
  <w:endnote w:type="continuationSeparator" w:id="0">
    <w:p w14:paraId="4F61E3C2" w14:textId="77777777" w:rsidR="00611CCA" w:rsidRDefault="00611CCA" w:rsidP="005C02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00002FF" w:usb1="0000FCFF" w:usb2="00000001" w:usb3="00000000" w:csb0="0000019F" w:csb1="00000000"/>
  </w:font>
  <w:font w:name="Verdana,Segoe UI">
    <w:altName w:val="Times New Roman"/>
    <w:panose1 w:val="00000000000000000000"/>
    <w:charset w:val="00"/>
    <w:family w:val="roman"/>
    <w:notTrueType/>
    <w:pitch w:val="default"/>
  </w:font>
  <w:font w:name="Rockwell,Segoe U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641223"/>
      <w:docPartObj>
        <w:docPartGallery w:val="Page Numbers (Bottom of Page)"/>
        <w:docPartUnique/>
      </w:docPartObj>
    </w:sdtPr>
    <w:sdtEndPr>
      <w:rPr>
        <w:noProof/>
      </w:rPr>
    </w:sdtEndPr>
    <w:sdtContent>
      <w:p w14:paraId="75E10C2D" w14:textId="77777777" w:rsidR="0082216F" w:rsidRDefault="0082216F">
        <w:pPr>
          <w:pStyle w:val="Footer"/>
          <w:jc w:val="right"/>
        </w:pPr>
        <w:r>
          <w:fldChar w:fldCharType="begin"/>
        </w:r>
        <w:r>
          <w:instrText xml:space="preserve"> PAGE   \* MERGEFORMAT </w:instrText>
        </w:r>
        <w:r>
          <w:fldChar w:fldCharType="separate"/>
        </w:r>
        <w:r>
          <w:rPr>
            <w:noProof/>
          </w:rPr>
          <w:t>iii</w:t>
        </w:r>
        <w:r>
          <w:rPr>
            <w:noProof/>
          </w:rPr>
          <w:fldChar w:fldCharType="end"/>
        </w:r>
      </w:p>
    </w:sdtContent>
  </w:sdt>
  <w:p w14:paraId="559D0199" w14:textId="77777777" w:rsidR="0082216F" w:rsidRDefault="00822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9978749"/>
      <w:docPartObj>
        <w:docPartGallery w:val="Page Numbers (Bottom of Page)"/>
        <w:docPartUnique/>
      </w:docPartObj>
    </w:sdtPr>
    <w:sdtEndPr>
      <w:rPr>
        <w:noProof/>
      </w:rPr>
    </w:sdtEndPr>
    <w:sdtContent>
      <w:p w14:paraId="296980BC" w14:textId="2E867CB8" w:rsidR="0082216F" w:rsidRDefault="0082216F" w:rsidP="00184BFC">
        <w:pPr>
          <w:pStyle w:val="Footer"/>
          <w:jc w:val="right"/>
        </w:pPr>
        <w:r>
          <w:fldChar w:fldCharType="begin"/>
        </w:r>
        <w:r>
          <w:instrText xml:space="preserve"> PAGE   \* MERGEFORMAT </w:instrText>
        </w:r>
        <w:r>
          <w:fldChar w:fldCharType="separate"/>
        </w:r>
        <w:r w:rsidR="0059501A">
          <w:rPr>
            <w:noProof/>
          </w:rPr>
          <w:t>ii</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7163633"/>
      <w:docPartObj>
        <w:docPartGallery w:val="Page Numbers (Bottom of Page)"/>
        <w:docPartUnique/>
      </w:docPartObj>
    </w:sdtPr>
    <w:sdtEndPr>
      <w:rPr>
        <w:noProof/>
      </w:rPr>
    </w:sdtEndPr>
    <w:sdtContent>
      <w:p w14:paraId="72C64857" w14:textId="54FDD8F6" w:rsidR="0082216F" w:rsidRDefault="0082216F" w:rsidP="00184BFC">
        <w:pPr>
          <w:pStyle w:val="Footer"/>
          <w:jc w:val="right"/>
        </w:pPr>
        <w:r>
          <w:fldChar w:fldCharType="begin"/>
        </w:r>
        <w:r>
          <w:instrText xml:space="preserve"> PAGE   \* MERGEFORMAT </w:instrText>
        </w:r>
        <w:r>
          <w:fldChar w:fldCharType="separate"/>
        </w:r>
        <w:r w:rsidR="0059501A">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980850"/>
      <w:docPartObj>
        <w:docPartGallery w:val="Page Numbers (Bottom of Page)"/>
        <w:docPartUnique/>
      </w:docPartObj>
    </w:sdtPr>
    <w:sdtEndPr>
      <w:rPr>
        <w:noProof/>
        <w:color w:val="000000" w:themeColor="text2"/>
      </w:rPr>
    </w:sdtEndPr>
    <w:sdtContent>
      <w:p w14:paraId="0A3DBEFB" w14:textId="67224E9E" w:rsidR="0082216F" w:rsidRPr="00A615C8" w:rsidRDefault="0082216F" w:rsidP="008F3CA8">
        <w:pPr>
          <w:pStyle w:val="Footer"/>
          <w:jc w:val="right"/>
          <w:rPr>
            <w:color w:val="000000" w:themeColor="text2"/>
          </w:rPr>
        </w:pPr>
        <w:r w:rsidRPr="00A615C8">
          <w:rPr>
            <w:noProof/>
            <w:color w:val="000000" w:themeColor="text2"/>
          </w:rPr>
          <w:fldChar w:fldCharType="begin"/>
        </w:r>
        <w:r w:rsidRPr="00A615C8">
          <w:rPr>
            <w:noProof/>
            <w:color w:val="000000" w:themeColor="text2"/>
          </w:rPr>
          <w:instrText xml:space="preserve"> PAGE   \* MERGEFORMAT </w:instrText>
        </w:r>
        <w:r w:rsidRPr="00A615C8">
          <w:rPr>
            <w:noProof/>
            <w:color w:val="000000" w:themeColor="text2"/>
          </w:rPr>
          <w:fldChar w:fldCharType="separate"/>
        </w:r>
        <w:r w:rsidR="0059501A">
          <w:rPr>
            <w:noProof/>
            <w:color w:val="000000" w:themeColor="text2"/>
          </w:rPr>
          <w:t>18</w:t>
        </w:r>
        <w:r w:rsidRPr="00A615C8">
          <w:rPr>
            <w:noProof/>
            <w:color w:val="000000" w:themeColor="text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65530" w14:textId="77777777" w:rsidR="00611CCA" w:rsidRDefault="00611CCA" w:rsidP="005C02F5">
      <w:pPr>
        <w:spacing w:line="240" w:lineRule="auto"/>
      </w:pPr>
      <w:r>
        <w:separator/>
      </w:r>
    </w:p>
  </w:footnote>
  <w:footnote w:type="continuationSeparator" w:id="0">
    <w:p w14:paraId="3668F53C" w14:textId="77777777" w:rsidR="00611CCA" w:rsidRDefault="00611CCA" w:rsidP="005C02F5">
      <w:pPr>
        <w:spacing w:line="240" w:lineRule="auto"/>
      </w:pPr>
      <w:r>
        <w:continuationSeparator/>
      </w:r>
    </w:p>
  </w:footnote>
  <w:footnote w:id="1">
    <w:p w14:paraId="1B72B191" w14:textId="77777777" w:rsidR="0082216F" w:rsidRDefault="0082216F" w:rsidP="00ED7841">
      <w:pPr>
        <w:pStyle w:val="FootnoteText"/>
        <w:spacing w:before="0"/>
      </w:pPr>
      <w:r>
        <w:rPr>
          <w:rStyle w:val="FootnoteReference"/>
        </w:rPr>
        <w:footnoteRef/>
      </w:r>
      <w:r>
        <w:t xml:space="preserve"> </w:t>
      </w:r>
      <w:r w:rsidRPr="001043B4">
        <w:t>The 4:3:1:3:3:1:4 vaccination combination series includes four doses of diphtheria/tetanus/pertussis vaccine, three doses of polio vaccine, one dose of measles/mumps/rubella vaccine, three or four doses of Hib vaccine</w:t>
      </w:r>
      <w:r>
        <w:t xml:space="preserve"> depending on brand</w:t>
      </w:r>
      <w:r w:rsidRPr="001043B4">
        <w:t>, three doses of hepatitis B vaccine, one dose of varicella vaccine, and four doses of pneumococcal conjugate vaccine.</w:t>
      </w:r>
    </w:p>
    <w:p w14:paraId="1A12D59B" w14:textId="77777777" w:rsidR="0082216F" w:rsidRDefault="0082216F">
      <w:pPr>
        <w:pStyle w:val="FootnoteText"/>
      </w:pPr>
    </w:p>
  </w:footnote>
  <w:footnote w:id="2">
    <w:p w14:paraId="16E64CE7" w14:textId="77777777" w:rsidR="0082216F" w:rsidRDefault="0082216F" w:rsidP="00FF3964">
      <w:pPr>
        <w:pStyle w:val="FootnoteText"/>
        <w:spacing w:before="0"/>
      </w:pPr>
      <w:r>
        <w:rPr>
          <w:rStyle w:val="FootnoteReference"/>
        </w:rPr>
        <w:footnoteRef/>
      </w:r>
      <w:r>
        <w:t xml:space="preserve"> </w:t>
      </w:r>
      <w:r w:rsidRPr="00E72A49">
        <w:t xml:space="preserve">The TVFC </w:t>
      </w:r>
      <w:r>
        <w:t>p</w:t>
      </w:r>
      <w:r w:rsidRPr="00E72A49">
        <w:t xml:space="preserve">rogram provides vaccines at no cost to physicians to vaccinate eligible children. Further information on the TVFC </w:t>
      </w:r>
      <w:r>
        <w:t>p</w:t>
      </w:r>
      <w:r w:rsidRPr="00E72A49">
        <w:t>rogram can be found at</w:t>
      </w:r>
      <w:r>
        <w:t>:</w:t>
      </w:r>
      <w:r w:rsidRPr="00E72A49">
        <w:t xml:space="preserve"> </w:t>
      </w:r>
      <w:hyperlink r:id="rId1" w:history="1">
        <w:r>
          <w:rPr>
            <w:rStyle w:val="Hyperlink"/>
          </w:rPr>
          <w:t>www.dshs.texas.gov/immunize/tvfc/</w:t>
        </w:r>
      </w:hyperlink>
      <w:r w:rsidRPr="00E72A49">
        <w:t>.</w:t>
      </w:r>
    </w:p>
  </w:footnote>
  <w:footnote w:id="3">
    <w:p w14:paraId="1C20F2F1" w14:textId="77777777" w:rsidR="0082216F" w:rsidRDefault="0082216F" w:rsidP="00FF3964">
      <w:pPr>
        <w:pStyle w:val="FootnoteText"/>
        <w:spacing w:before="0"/>
      </w:pPr>
      <w:r>
        <w:rPr>
          <w:rStyle w:val="FootnoteReference"/>
        </w:rPr>
        <w:footnoteRef/>
      </w:r>
      <w:r>
        <w:t xml:space="preserve"> </w:t>
      </w:r>
      <w:r w:rsidRPr="00E72A49">
        <w:t xml:space="preserve">The ASN </w:t>
      </w:r>
      <w:r>
        <w:t>p</w:t>
      </w:r>
      <w:r w:rsidRPr="00E72A49">
        <w:t xml:space="preserve">rogram provides vaccines at no cost to physicians to vaccinate uninsured adults. Further information on the ASN </w:t>
      </w:r>
      <w:r>
        <w:t>p</w:t>
      </w:r>
      <w:r w:rsidRPr="00E72A49">
        <w:t>rogram can be found at</w:t>
      </w:r>
      <w:r>
        <w:t>:</w:t>
      </w:r>
      <w:r w:rsidRPr="00E72A49">
        <w:t xml:space="preserve"> </w:t>
      </w:r>
      <w:hyperlink r:id="rId2" w:history="1">
        <w:r>
          <w:rPr>
            <w:rStyle w:val="Hyperlink"/>
          </w:rPr>
          <w:t>www.dshs.texas.gov/immunize/ASN/</w:t>
        </w:r>
      </w:hyperlink>
      <w:r w:rsidRPr="00E72A49">
        <w:t>.</w:t>
      </w:r>
    </w:p>
  </w:footnote>
  <w:footnote w:id="4">
    <w:p w14:paraId="3714C3CB" w14:textId="77777777" w:rsidR="0082216F" w:rsidRDefault="0082216F" w:rsidP="00474423">
      <w:pPr>
        <w:pStyle w:val="FootnoteText"/>
        <w:spacing w:before="0"/>
      </w:pPr>
      <w:r>
        <w:rPr>
          <w:rStyle w:val="FootnoteReference"/>
        </w:rPr>
        <w:footnoteRef/>
      </w:r>
      <w:r>
        <w:t xml:space="preserve"> Information about ImmTrac2 is available at: </w:t>
      </w:r>
      <w:hyperlink r:id="rId3" w:history="1">
        <w:r w:rsidRPr="00F737FE">
          <w:rPr>
            <w:rStyle w:val="Hyperlink"/>
          </w:rPr>
          <w:t>http://www.dshs.texas.gov/immunize/immtrac/default.shtm</w:t>
        </w:r>
      </w:hyperlink>
      <w:r>
        <w:t xml:space="preserve">. </w:t>
      </w:r>
    </w:p>
  </w:footnote>
  <w:footnote w:id="5">
    <w:p w14:paraId="18EABA71" w14:textId="363EDCDE" w:rsidR="00C44064" w:rsidRDefault="00C44064">
      <w:pPr>
        <w:pStyle w:val="FootnoteText"/>
      </w:pPr>
      <w:r>
        <w:rPr>
          <w:rStyle w:val="FootnoteReference"/>
        </w:rPr>
        <w:footnoteRef/>
      </w:r>
      <w:r>
        <w:t xml:space="preserve"> </w:t>
      </w:r>
      <w:r w:rsidRPr="001043B4">
        <w:t>The 4:3:1:3:3:1:4 vaccination combination series includes four doses of diphtheria/tetanus/pertussis vaccine, three doses of polio vaccine, one dose of measles/mumps/rubella vaccine, three or four doses of Hib vaccine</w:t>
      </w:r>
      <w:r>
        <w:t xml:space="preserve"> depending on brand</w:t>
      </w:r>
      <w:r w:rsidRPr="001043B4">
        <w:t>, three doses of hepatitis B vaccine, one dose of varicella vaccine, and four doses of pneumococcal conjugate vaccine.</w:t>
      </w:r>
    </w:p>
  </w:footnote>
  <w:footnote w:id="6">
    <w:p w14:paraId="18580277" w14:textId="77777777" w:rsidR="0082216F" w:rsidRDefault="0082216F" w:rsidP="00F41DE5">
      <w:pPr>
        <w:pStyle w:val="FootnoteText"/>
        <w:spacing w:before="0"/>
      </w:pPr>
      <w:r>
        <w:rPr>
          <w:rStyle w:val="FootnoteReference"/>
        </w:rPr>
        <w:footnoteRef/>
      </w:r>
      <w:r>
        <w:t xml:space="preserve"> More information about the immunization schedule for infants and children can be found at: </w:t>
      </w:r>
      <w:hyperlink r:id="rId4" w:history="1">
        <w:r w:rsidRPr="00171B23">
          <w:rPr>
            <w:rStyle w:val="Hyperlink"/>
          </w:rPr>
          <w:t>www.cdc.gov/vaccines/schedules/easy-to-read/child.html</w:t>
        </w:r>
      </w:hyperlink>
    </w:p>
  </w:footnote>
  <w:footnote w:id="7">
    <w:p w14:paraId="03633EAA" w14:textId="77777777" w:rsidR="0082216F" w:rsidRDefault="0082216F" w:rsidP="00102D3B">
      <w:pPr>
        <w:pStyle w:val="FootnoteText"/>
        <w:spacing w:before="0"/>
      </w:pPr>
      <w:r>
        <w:rPr>
          <w:rStyle w:val="FootnoteReference"/>
        </w:rPr>
        <w:footnoteRef/>
      </w:r>
      <w:r>
        <w:t xml:space="preserve"> Three</w:t>
      </w:r>
      <w:r w:rsidRPr="00102D3B">
        <w:t xml:space="preserve"> or </w:t>
      </w:r>
      <w:r>
        <w:t>four</w:t>
      </w:r>
      <w:r w:rsidRPr="00102D3B">
        <w:t xml:space="preserve"> doses of Hib vaccine, depending on vaccine type.</w:t>
      </w:r>
    </w:p>
  </w:footnote>
  <w:footnote w:id="8">
    <w:p w14:paraId="1167B26A" w14:textId="3199963E" w:rsidR="0082216F" w:rsidRDefault="0082216F" w:rsidP="00102D3B">
      <w:pPr>
        <w:pStyle w:val="FootnoteText"/>
        <w:spacing w:before="0"/>
      </w:pPr>
      <w:r>
        <w:rPr>
          <w:rStyle w:val="FootnoteReference"/>
        </w:rPr>
        <w:footnoteRef/>
      </w:r>
      <w:r>
        <w:t xml:space="preserve"> </w:t>
      </w:r>
      <w:r w:rsidRPr="00102D3B">
        <w:t>Coverage estimates by birth cohort. Estimates are for children born in 2012-2015.</w:t>
      </w:r>
    </w:p>
  </w:footnote>
  <w:footnote w:id="9">
    <w:p w14:paraId="523437E4" w14:textId="77777777" w:rsidR="0082216F" w:rsidRDefault="0082216F" w:rsidP="00102D3B">
      <w:pPr>
        <w:pStyle w:val="FootnoteText"/>
        <w:spacing w:before="0"/>
      </w:pPr>
      <w:r>
        <w:rPr>
          <w:rStyle w:val="FootnoteReference"/>
        </w:rPr>
        <w:footnoteRef/>
      </w:r>
      <w:r>
        <w:t xml:space="preserve"> Two</w:t>
      </w:r>
      <w:r w:rsidRPr="00102D3B">
        <w:t xml:space="preserve"> or </w:t>
      </w:r>
      <w:r>
        <w:t>three</w:t>
      </w:r>
      <w:r w:rsidRPr="00102D3B">
        <w:t xml:space="preserve"> doses, depending on vaccine type.</w:t>
      </w:r>
    </w:p>
  </w:footnote>
  <w:footnote w:id="10">
    <w:p w14:paraId="3E1EF585" w14:textId="069E252F" w:rsidR="0082216F" w:rsidRDefault="0082216F" w:rsidP="00FF37F2">
      <w:pPr>
        <w:pStyle w:val="FootnoteText"/>
        <w:spacing w:before="0"/>
      </w:pPr>
      <w:r>
        <w:rPr>
          <w:rStyle w:val="FootnoteReference"/>
        </w:rPr>
        <w:footnoteRef/>
      </w:r>
      <w:r>
        <w:t xml:space="preserve"> Rates for females and males are monitored separately because the HPV vaccine was initially recommended only for females. Data for males begins in 2011 because the vaccine was licensed for male use in 2010.</w:t>
      </w:r>
    </w:p>
  </w:footnote>
  <w:footnote w:id="11">
    <w:p w14:paraId="38510630" w14:textId="77777777" w:rsidR="0082216F" w:rsidRDefault="0082216F" w:rsidP="00C10405">
      <w:pPr>
        <w:pStyle w:val="FootnoteText"/>
        <w:spacing w:before="0"/>
      </w:pPr>
      <w:r>
        <w:rPr>
          <w:rStyle w:val="FootnoteReference"/>
        </w:rPr>
        <w:footnoteRef/>
      </w:r>
      <w:r>
        <w:t xml:space="preserve"> Information about TISWG can be found at: </w:t>
      </w:r>
      <w:hyperlink r:id="rId5" w:history="1">
        <w:r w:rsidRPr="00F737FE">
          <w:rPr>
            <w:rStyle w:val="Hyperlink"/>
          </w:rPr>
          <w:t>http://dshs.texas.gov/immunize/partners/tiswg.shtm</w:t>
        </w:r>
      </w:hyperlink>
      <w:r>
        <w:t xml:space="preserve">. </w:t>
      </w:r>
    </w:p>
  </w:footnote>
  <w:footnote w:id="12">
    <w:p w14:paraId="1767298B" w14:textId="77777777" w:rsidR="0082216F" w:rsidRDefault="0082216F" w:rsidP="007A0572">
      <w:pPr>
        <w:pStyle w:val="FootnoteText"/>
        <w:spacing w:before="0"/>
      </w:pPr>
      <w:r>
        <w:rPr>
          <w:rStyle w:val="FootnoteReference"/>
        </w:rPr>
        <w:footnoteRef/>
      </w:r>
      <w:r>
        <w:t xml:space="preserve"> Information about TIP can be found at: </w:t>
      </w:r>
      <w:hyperlink r:id="rId6" w:history="1">
        <w:r w:rsidRPr="00F737FE">
          <w:rPr>
            <w:rStyle w:val="Hyperlink"/>
          </w:rPr>
          <w:t>http://www.immunizeusa.org/</w:t>
        </w:r>
      </w:hyperlink>
      <w:r>
        <w:t xml:space="preserve">. </w:t>
      </w:r>
    </w:p>
  </w:footnote>
  <w:footnote w:id="13">
    <w:p w14:paraId="6BB1859F" w14:textId="0E755813" w:rsidR="0082216F" w:rsidRDefault="0082216F" w:rsidP="00F1133F">
      <w:pPr>
        <w:pStyle w:val="FootnoteText"/>
        <w:spacing w:before="0"/>
      </w:pPr>
      <w:r>
        <w:rPr>
          <w:rStyle w:val="FootnoteReference"/>
        </w:rPr>
        <w:footnoteRef/>
      </w:r>
      <w:r>
        <w:t xml:space="preserve"> </w:t>
      </w:r>
      <w:r w:rsidRPr="000314D5">
        <w:t xml:space="preserve">The </w:t>
      </w:r>
      <w:r>
        <w:t>f</w:t>
      </w:r>
      <w:r w:rsidRPr="000314D5">
        <w:t xml:space="preserve">iscal </w:t>
      </w:r>
      <w:r>
        <w:t>y</w:t>
      </w:r>
      <w:r w:rsidRPr="000314D5">
        <w:t xml:space="preserve">ear 2018 Work Plan for the interlocal agreement immunization contract can be found at: </w:t>
      </w:r>
      <w:hyperlink r:id="rId7" w:history="1">
        <w:r>
          <w:rPr>
            <w:rStyle w:val="Hyperlink"/>
          </w:rPr>
          <w:t>www.dshs.texas.gov/immunize/lhd.shtm</w:t>
        </w:r>
      </w:hyperlink>
      <w:r w:rsidRPr="000314D5">
        <w:t>.</w:t>
      </w:r>
    </w:p>
  </w:footnote>
  <w:footnote w:id="14">
    <w:p w14:paraId="14601395" w14:textId="64BCD6B9" w:rsidR="0082216F" w:rsidRDefault="0082216F" w:rsidP="00F1133F">
      <w:pPr>
        <w:pStyle w:val="FootnoteText"/>
        <w:spacing w:before="0"/>
      </w:pPr>
      <w:r>
        <w:rPr>
          <w:rStyle w:val="FootnoteReference"/>
        </w:rPr>
        <w:footnoteRef/>
      </w:r>
      <w:r>
        <w:t xml:space="preserve"> </w:t>
      </w:r>
      <w:r w:rsidRPr="000314D5">
        <w:t xml:space="preserve">The </w:t>
      </w:r>
      <w:r>
        <w:t>f</w:t>
      </w:r>
      <w:r w:rsidRPr="000314D5">
        <w:t xml:space="preserve">iscal </w:t>
      </w:r>
      <w:r>
        <w:t>y</w:t>
      </w:r>
      <w:r w:rsidRPr="000314D5">
        <w:t xml:space="preserve">ear 2018 Immunization Contractor’s Guide for Local Health Departments can be found at: </w:t>
      </w:r>
      <w:hyperlink r:id="rId8" w:history="1">
        <w:r w:rsidRPr="000314D5">
          <w:rPr>
            <w:rStyle w:val="Hyperlink"/>
          </w:rPr>
          <w:t>www.dshs.texas.gov/immunize/lhd.shtm</w:t>
        </w:r>
      </w:hyperlink>
      <w:r w:rsidRPr="000314D5">
        <w:t>.</w:t>
      </w:r>
    </w:p>
  </w:footnote>
  <w:footnote w:id="15">
    <w:p w14:paraId="44DC077B" w14:textId="0B9E79A8" w:rsidR="0082216F" w:rsidRDefault="0082216F" w:rsidP="00F1133F">
      <w:pPr>
        <w:pStyle w:val="FootnoteText"/>
        <w:spacing w:before="0"/>
      </w:pPr>
      <w:r>
        <w:rPr>
          <w:rStyle w:val="FootnoteReference"/>
        </w:rPr>
        <w:footnoteRef/>
      </w:r>
      <w:r>
        <w:t xml:space="preserve"> DSHS’s fiscal year starts September 1 and extends through August 31 of the following year. For example, fiscal year 2014 began September 1, 2013 and ended August 31, 2014.</w:t>
      </w:r>
    </w:p>
  </w:footnote>
  <w:footnote w:id="16">
    <w:p w14:paraId="4817D70B" w14:textId="77777777" w:rsidR="0082216F" w:rsidRDefault="0082216F" w:rsidP="00ED7841">
      <w:pPr>
        <w:pStyle w:val="FootnoteText"/>
        <w:spacing w:before="0"/>
      </w:pPr>
      <w:r>
        <w:rPr>
          <w:rStyle w:val="FootnoteReference"/>
        </w:rPr>
        <w:footnoteRef/>
      </w:r>
      <w:r>
        <w:t xml:space="preserve"> </w:t>
      </w:r>
      <w:r w:rsidRPr="003712C8">
        <w:t>Health Level Seven International is a not-for-profit organization dedicated to providing a comprehensive framework and standards for the exchange, integration, sharing, and retrieval of electronic health infor</w:t>
      </w:r>
      <w:r>
        <w:t xml:space="preserve">mation. The organization’s website can be found at </w:t>
      </w:r>
      <w:hyperlink r:id="rId9" w:history="1">
        <w:r>
          <w:rPr>
            <w:rStyle w:val="Hyperlink"/>
          </w:rPr>
          <w:t>www.hl7.org</w:t>
        </w:r>
      </w:hyperlink>
      <w:r w:rsidRPr="003712C8">
        <w:t>.</w:t>
      </w:r>
    </w:p>
  </w:footnote>
  <w:footnote w:id="17">
    <w:p w14:paraId="55A1A746" w14:textId="77777777" w:rsidR="0082216F" w:rsidRDefault="0082216F" w:rsidP="00554A67">
      <w:pPr>
        <w:pStyle w:val="FootnoteText"/>
        <w:spacing w:before="0"/>
      </w:pPr>
      <w:r>
        <w:rPr>
          <w:rStyle w:val="FootnoteReference"/>
        </w:rPr>
        <w:footnoteRef/>
      </w:r>
      <w:r>
        <w:t xml:space="preserve"> </w:t>
      </w:r>
      <w:hyperlink r:id="rId10" w:history="1">
        <w:r w:rsidRPr="00EE65FD">
          <w:rPr>
            <w:rStyle w:val="Hyperlink"/>
          </w:rPr>
          <w:t>House Bill 2171, 84</w:t>
        </w:r>
        <w:r w:rsidRPr="00EE65FD">
          <w:rPr>
            <w:rStyle w:val="Hyperlink"/>
            <w:vertAlign w:val="superscript"/>
          </w:rPr>
          <w:t>th</w:t>
        </w:r>
        <w:r w:rsidRPr="00EE65FD">
          <w:rPr>
            <w:rStyle w:val="Hyperlink"/>
          </w:rPr>
          <w:t xml:space="preserve"> Legislature, Regular Session</w:t>
        </w:r>
      </w:hyperlink>
      <w:r>
        <w:t xml:space="preserve"> </w:t>
      </w:r>
      <w:r w:rsidRPr="00554A67">
        <w:t>modified the age at which individuals’ records are purged from ImmTrac2 if adult consent is not received, increasing it from 19 to 26 years old. The first cohort of individuals affected by this legislation will turn 25 in 2022, at which point DSHS will make a reasonable effort to provide notice that their information will be purged on their 26</w:t>
      </w:r>
      <w:r w:rsidRPr="00743E6E">
        <w:rPr>
          <w:vertAlign w:val="superscript"/>
        </w:rPr>
        <w:t>th</w:t>
      </w:r>
      <w:r w:rsidRPr="00554A67">
        <w:t xml:space="preserve"> birthday if they do not provide adult consent prior to that date.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52EA8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FFEAA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F4A09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36AC40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F762F8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C243C1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90A0D7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4C7AD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C6D213E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C9064C8"/>
    <w:multiLevelType w:val="multilevel"/>
    <w:tmpl w:val="870AECF0"/>
    <w:numStyleLink w:val="HHSNumbering"/>
  </w:abstractNum>
  <w:abstractNum w:abstractNumId="10" w15:restartNumberingAfterBreak="0">
    <w:nsid w:val="1CA33E0A"/>
    <w:multiLevelType w:val="multilevel"/>
    <w:tmpl w:val="D4C65E62"/>
    <w:numStyleLink w:val="Appendixes"/>
  </w:abstractNum>
  <w:abstractNum w:abstractNumId="11" w15:restartNumberingAfterBreak="0">
    <w:nsid w:val="1F2200E0"/>
    <w:multiLevelType w:val="multilevel"/>
    <w:tmpl w:val="870AECF0"/>
    <w:styleLink w:val="HHSNumbering"/>
    <w:lvl w:ilvl="0">
      <w:start w:val="1"/>
      <w:numFmt w:val="decimal"/>
      <w:pStyle w:val="ListNumber"/>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2" w15:restartNumberingAfterBreak="0">
    <w:nsid w:val="23C61759"/>
    <w:multiLevelType w:val="multilevel"/>
    <w:tmpl w:val="4CB2C3A4"/>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3" w15:restartNumberingAfterBreak="0">
    <w:nsid w:val="2C382E10"/>
    <w:multiLevelType w:val="multilevel"/>
    <w:tmpl w:val="B958EEF0"/>
    <w:name w:val="Report Headings2"/>
    <w:styleLink w:val="HHSHeadingNumbering"/>
    <w:lvl w:ilvl="0">
      <w:start w:val="1"/>
      <w:numFmt w:val="decimal"/>
      <w:pStyle w:val="Heading1"/>
      <w:lvlText w:val="%1."/>
      <w:lvlJc w:val="left"/>
      <w:pPr>
        <w:ind w:left="360" w:hanging="360"/>
      </w:pPr>
      <w:rPr>
        <w:rFonts w:asciiTheme="majorHAnsi" w:hAnsiTheme="majorHAnsi" w:hint="default"/>
      </w:rPr>
    </w:lvl>
    <w:lvl w:ilvl="1">
      <w:start w:val="1"/>
      <w:numFmt w:val="decimal"/>
      <w:suff w:val="space"/>
      <w:lvlText w:val="%2.%1."/>
      <w:lvlJc w:val="left"/>
      <w:pPr>
        <w:ind w:left="360" w:hanging="360"/>
      </w:pPr>
      <w:rPr>
        <w:rFonts w:asciiTheme="majorHAnsi" w:hAnsiTheme="majorHAnsi" w:hint="default"/>
      </w:rPr>
    </w:lvl>
    <w:lvl w:ilvl="2">
      <w:start w:val="1"/>
      <w:numFmt w:val="decimal"/>
      <w:suff w:val="space"/>
      <w:lvlText w:val="%1.%2.%3."/>
      <w:lvlJc w:val="left"/>
      <w:pPr>
        <w:ind w:left="360" w:hanging="360"/>
      </w:pPr>
      <w:rPr>
        <w:rFonts w:asciiTheme="majorHAnsi" w:hAnsiTheme="majorHAnsi" w:hint="default"/>
      </w:rPr>
    </w:lvl>
    <w:lvl w:ilvl="3">
      <w:start w:val="1"/>
      <w:numFmt w:val="decimal"/>
      <w:suff w:val="space"/>
      <w:lvlText w:val="%1.%2.%3.%4."/>
      <w:lvlJc w:val="left"/>
      <w:pPr>
        <w:ind w:left="360" w:hanging="360"/>
      </w:pPr>
      <w:rPr>
        <w:rFonts w:asciiTheme="minorHAnsi" w:hAnsiTheme="minorHAnsi" w:hint="default"/>
      </w:rPr>
    </w:lvl>
    <w:lvl w:ilvl="4">
      <w:start w:val="1"/>
      <w:numFmt w:val="decimal"/>
      <w:suff w:val="space"/>
      <w:lvlText w:val="%1.%2.%3.%4.%5."/>
      <w:lvlJc w:val="left"/>
      <w:pPr>
        <w:ind w:left="360" w:hanging="360"/>
      </w:pPr>
      <w:rPr>
        <w:rFonts w:asciiTheme="minorHAnsi" w:hAnsiTheme="minorHAnsi" w:hint="default"/>
      </w:rPr>
    </w:lvl>
    <w:lvl w:ilvl="5">
      <w:start w:val="1"/>
      <w:numFmt w:val="decimal"/>
      <w:suff w:val="space"/>
      <w:lvlText w:val="%1.%2.%3.%4.%5.%6."/>
      <w:lvlJc w:val="left"/>
      <w:pPr>
        <w:ind w:left="360" w:hanging="360"/>
      </w:pPr>
      <w:rPr>
        <w:rFonts w:asciiTheme="minorHAnsi" w:hAnsiTheme="minorHAnsi" w:hint="default"/>
      </w:rPr>
    </w:lvl>
    <w:lvl w:ilvl="6">
      <w:start w:val="1"/>
      <w:numFmt w:val="none"/>
      <w:suff w:val="nothing"/>
      <w:lvlText w:val="%7"/>
      <w:lvlJc w:val="left"/>
      <w:pPr>
        <w:ind w:left="360" w:hanging="360"/>
      </w:pPr>
      <w:rPr>
        <w:rFonts w:hint="default"/>
      </w:rPr>
    </w:lvl>
    <w:lvl w:ilvl="7">
      <w:start w:val="1"/>
      <w:numFmt w:val="none"/>
      <w:suff w:val="nothing"/>
      <w:lvlText w:val="%8"/>
      <w:lvlJc w:val="left"/>
      <w:pPr>
        <w:ind w:left="360" w:hanging="360"/>
      </w:pPr>
      <w:rPr>
        <w:rFonts w:hint="default"/>
      </w:rPr>
    </w:lvl>
    <w:lvl w:ilvl="8">
      <w:start w:val="1"/>
      <w:numFmt w:val="none"/>
      <w:suff w:val="nothing"/>
      <w:lvlText w:val="%9"/>
      <w:lvlJc w:val="left"/>
      <w:pPr>
        <w:ind w:left="360" w:hanging="360"/>
      </w:pPr>
      <w:rPr>
        <w:rFonts w:hint="default"/>
      </w:rPr>
    </w:lvl>
  </w:abstractNum>
  <w:abstractNum w:abstractNumId="14" w15:restartNumberingAfterBreak="0">
    <w:nsid w:val="363D7576"/>
    <w:multiLevelType w:val="multilevel"/>
    <w:tmpl w:val="388E255A"/>
    <w:name w:val="Report Headings"/>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1326F35"/>
    <w:multiLevelType w:val="multilevel"/>
    <w:tmpl w:val="D4C65E62"/>
    <w:styleLink w:val="Appendixes"/>
    <w:lvl w:ilvl="0">
      <w:start w:val="1"/>
      <w:numFmt w:val="upperLetter"/>
      <w:pStyle w:val="AppendixHeading"/>
      <w:suff w:val="space"/>
      <w:lvlText w:val="Appendix %1."/>
      <w:lvlJc w:val="left"/>
      <w:pPr>
        <w:ind w:left="0" w:firstLine="0"/>
      </w:pPr>
      <w:rPr>
        <w:rFonts w:asciiTheme="majorHAnsi" w:hAnsiTheme="majorHAnsi" w:hint="default"/>
        <w:b/>
        <w:sz w:val="32"/>
      </w:rPr>
    </w:lvl>
    <w:lvl w:ilvl="1">
      <w:start w:val="1"/>
      <w:numFmt w:val="none"/>
      <w:suff w:val="nothing"/>
      <w:lvlText w:val="%2"/>
      <w:lvlJc w:val="left"/>
      <w:pPr>
        <w:ind w:left="0" w:firstLine="0"/>
      </w:pPr>
      <w:rPr>
        <w:rFonts w:hint="default"/>
      </w:rPr>
    </w:lvl>
    <w:lvl w:ilvl="2">
      <w:start w:val="1"/>
      <w:numFmt w:val="none"/>
      <w:suff w:val="nothing"/>
      <w:lvlText w:val="%3"/>
      <w:lvlJc w:val="right"/>
      <w:pPr>
        <w:ind w:left="0" w:firstLine="0"/>
      </w:pPr>
      <w:rPr>
        <w:rFonts w:hint="default"/>
      </w:rPr>
    </w:lvl>
    <w:lvl w:ilvl="3">
      <w:start w:val="1"/>
      <w:numFmt w:val="none"/>
      <w:suff w:val="nothing"/>
      <w:lvlText w:val="%4"/>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6"/>
      <w:lvlJc w:val="righ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right"/>
      <w:pPr>
        <w:ind w:left="0" w:firstLine="0"/>
      </w:pPr>
      <w:rPr>
        <w:rFonts w:hint="default"/>
      </w:rPr>
    </w:lvl>
  </w:abstractNum>
  <w:abstractNum w:abstractNumId="16" w15:restartNumberingAfterBreak="0">
    <w:nsid w:val="57F6380A"/>
    <w:multiLevelType w:val="hybridMultilevel"/>
    <w:tmpl w:val="4070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BB4938"/>
    <w:multiLevelType w:val="multilevel"/>
    <w:tmpl w:val="4CB2C3A4"/>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rPr>
        <w:rFonts w:asciiTheme="minorHAnsi" w:hAnsiTheme="minorHAnsi" w:hint="default"/>
      </w:rPr>
    </w:lvl>
    <w:lvl w:ilvl="2">
      <w:start w:val="1"/>
      <w:numFmt w:val="lowerRoman"/>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8" w15:restartNumberingAfterBreak="0">
    <w:nsid w:val="640A0D78"/>
    <w:multiLevelType w:val="multilevel"/>
    <w:tmpl w:val="EFE00F92"/>
    <w:styleLink w:val="HHSBullets"/>
    <w:lvl w:ilvl="0">
      <w:start w:val="1"/>
      <w:numFmt w:val="bullet"/>
      <w:pStyle w:val="List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9" w15:restartNumberingAfterBreak="0">
    <w:nsid w:val="710D4844"/>
    <w:multiLevelType w:val="multilevel"/>
    <w:tmpl w:val="E094096A"/>
    <w:name w:val="Appendix Numbering"/>
    <w:lvl w:ilvl="0">
      <w:start w:val="1"/>
      <w:numFmt w:val="upperLetter"/>
      <w:suff w:val="space"/>
      <w:lvlText w:val="Appendix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8"/>
  </w:num>
  <w:num w:numId="2">
    <w:abstractNumId w:val="11"/>
  </w:num>
  <w:num w:numId="3">
    <w:abstractNumId w:val="9"/>
  </w:num>
  <w:num w:numId="4">
    <w:abstractNumId w:val="1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5"/>
  </w:num>
  <w:num w:numId="14">
    <w:abstractNumId w:val="10"/>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6"/>
  </w:num>
  <w:num w:numId="19">
    <w:abstractNumId w:val="12"/>
  </w:num>
  <w:num w:numId="20">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trackRevisions/>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D7A"/>
    <w:rsid w:val="0000080A"/>
    <w:rsid w:val="00002B17"/>
    <w:rsid w:val="00002B78"/>
    <w:rsid w:val="00003CFD"/>
    <w:rsid w:val="00004CFD"/>
    <w:rsid w:val="00004ED3"/>
    <w:rsid w:val="0000611C"/>
    <w:rsid w:val="00006141"/>
    <w:rsid w:val="00006DF8"/>
    <w:rsid w:val="000114E1"/>
    <w:rsid w:val="00012BA6"/>
    <w:rsid w:val="00013E55"/>
    <w:rsid w:val="0001408F"/>
    <w:rsid w:val="0001524F"/>
    <w:rsid w:val="00017AC6"/>
    <w:rsid w:val="00017FA0"/>
    <w:rsid w:val="00024FE8"/>
    <w:rsid w:val="00025801"/>
    <w:rsid w:val="00030CF7"/>
    <w:rsid w:val="000314D5"/>
    <w:rsid w:val="000315AE"/>
    <w:rsid w:val="00032E27"/>
    <w:rsid w:val="00035624"/>
    <w:rsid w:val="00036759"/>
    <w:rsid w:val="000477EE"/>
    <w:rsid w:val="00051217"/>
    <w:rsid w:val="000537D6"/>
    <w:rsid w:val="0005637F"/>
    <w:rsid w:val="000579FD"/>
    <w:rsid w:val="0006003C"/>
    <w:rsid w:val="00060558"/>
    <w:rsid w:val="000618A5"/>
    <w:rsid w:val="0006421A"/>
    <w:rsid w:val="000663D8"/>
    <w:rsid w:val="0008169A"/>
    <w:rsid w:val="000818C1"/>
    <w:rsid w:val="000818F3"/>
    <w:rsid w:val="000835DA"/>
    <w:rsid w:val="00083FCD"/>
    <w:rsid w:val="0008593F"/>
    <w:rsid w:val="00087C16"/>
    <w:rsid w:val="00092B70"/>
    <w:rsid w:val="00093163"/>
    <w:rsid w:val="000965A7"/>
    <w:rsid w:val="000A0AAE"/>
    <w:rsid w:val="000A4C31"/>
    <w:rsid w:val="000A7B28"/>
    <w:rsid w:val="000A7BAB"/>
    <w:rsid w:val="000B0EAB"/>
    <w:rsid w:val="000B1A86"/>
    <w:rsid w:val="000B1C3F"/>
    <w:rsid w:val="000B3801"/>
    <w:rsid w:val="000B5989"/>
    <w:rsid w:val="000C0B13"/>
    <w:rsid w:val="000C0F14"/>
    <w:rsid w:val="000C10EE"/>
    <w:rsid w:val="000C1395"/>
    <w:rsid w:val="000C4A50"/>
    <w:rsid w:val="000C6284"/>
    <w:rsid w:val="000D2858"/>
    <w:rsid w:val="000D4E0E"/>
    <w:rsid w:val="000D6C64"/>
    <w:rsid w:val="000E2604"/>
    <w:rsid w:val="000E2C81"/>
    <w:rsid w:val="000E2F3F"/>
    <w:rsid w:val="000E6A59"/>
    <w:rsid w:val="000E6E48"/>
    <w:rsid w:val="000E6EE1"/>
    <w:rsid w:val="000E7E5A"/>
    <w:rsid w:val="000F0307"/>
    <w:rsid w:val="000F3A15"/>
    <w:rsid w:val="00100866"/>
    <w:rsid w:val="00100CB3"/>
    <w:rsid w:val="001015EB"/>
    <w:rsid w:val="00102D3B"/>
    <w:rsid w:val="001043B4"/>
    <w:rsid w:val="0010551F"/>
    <w:rsid w:val="00107188"/>
    <w:rsid w:val="00113B9D"/>
    <w:rsid w:val="001167F5"/>
    <w:rsid w:val="00116AAB"/>
    <w:rsid w:val="00123519"/>
    <w:rsid w:val="001251F2"/>
    <w:rsid w:val="001341E2"/>
    <w:rsid w:val="00144530"/>
    <w:rsid w:val="00146C23"/>
    <w:rsid w:val="00150C6E"/>
    <w:rsid w:val="001528B1"/>
    <w:rsid w:val="00153C5D"/>
    <w:rsid w:val="00154C9A"/>
    <w:rsid w:val="00154DCF"/>
    <w:rsid w:val="00161EA8"/>
    <w:rsid w:val="001626A4"/>
    <w:rsid w:val="00166EEA"/>
    <w:rsid w:val="00171907"/>
    <w:rsid w:val="00171B23"/>
    <w:rsid w:val="00172EAD"/>
    <w:rsid w:val="00176251"/>
    <w:rsid w:val="00181F9E"/>
    <w:rsid w:val="001829D5"/>
    <w:rsid w:val="00184BFC"/>
    <w:rsid w:val="0018693F"/>
    <w:rsid w:val="00186941"/>
    <w:rsid w:val="00191155"/>
    <w:rsid w:val="001A053A"/>
    <w:rsid w:val="001A3E70"/>
    <w:rsid w:val="001A4C0A"/>
    <w:rsid w:val="001A54D6"/>
    <w:rsid w:val="001A5FBF"/>
    <w:rsid w:val="001A625C"/>
    <w:rsid w:val="001A6A15"/>
    <w:rsid w:val="001A7AA5"/>
    <w:rsid w:val="001B0A34"/>
    <w:rsid w:val="001B104B"/>
    <w:rsid w:val="001B164C"/>
    <w:rsid w:val="001B1842"/>
    <w:rsid w:val="001B2004"/>
    <w:rsid w:val="001B3437"/>
    <w:rsid w:val="001B4020"/>
    <w:rsid w:val="001B5F46"/>
    <w:rsid w:val="001C0DE1"/>
    <w:rsid w:val="001C2262"/>
    <w:rsid w:val="001C30FB"/>
    <w:rsid w:val="001C3845"/>
    <w:rsid w:val="001C3AA9"/>
    <w:rsid w:val="001C69E5"/>
    <w:rsid w:val="001C7442"/>
    <w:rsid w:val="001D1B4F"/>
    <w:rsid w:val="001E53B8"/>
    <w:rsid w:val="001F3FA9"/>
    <w:rsid w:val="001F4833"/>
    <w:rsid w:val="001F50B9"/>
    <w:rsid w:val="001F5393"/>
    <w:rsid w:val="002004F0"/>
    <w:rsid w:val="00203E43"/>
    <w:rsid w:val="00204688"/>
    <w:rsid w:val="00207C08"/>
    <w:rsid w:val="0021141F"/>
    <w:rsid w:val="00211795"/>
    <w:rsid w:val="00216DFF"/>
    <w:rsid w:val="00217A3D"/>
    <w:rsid w:val="00220146"/>
    <w:rsid w:val="00220A90"/>
    <w:rsid w:val="00221FEC"/>
    <w:rsid w:val="00222A18"/>
    <w:rsid w:val="00222E9E"/>
    <w:rsid w:val="00224D12"/>
    <w:rsid w:val="00231E4E"/>
    <w:rsid w:val="00232357"/>
    <w:rsid w:val="00233586"/>
    <w:rsid w:val="00235184"/>
    <w:rsid w:val="00235B71"/>
    <w:rsid w:val="0024054B"/>
    <w:rsid w:val="0024344A"/>
    <w:rsid w:val="00243736"/>
    <w:rsid w:val="00243FC1"/>
    <w:rsid w:val="00246130"/>
    <w:rsid w:val="00246A58"/>
    <w:rsid w:val="00252BAD"/>
    <w:rsid w:val="0026141B"/>
    <w:rsid w:val="00261D56"/>
    <w:rsid w:val="00262456"/>
    <w:rsid w:val="00262B93"/>
    <w:rsid w:val="0026584A"/>
    <w:rsid w:val="0026735D"/>
    <w:rsid w:val="002675B5"/>
    <w:rsid w:val="00267D05"/>
    <w:rsid w:val="00270F83"/>
    <w:rsid w:val="00272849"/>
    <w:rsid w:val="00272F8E"/>
    <w:rsid w:val="002778EB"/>
    <w:rsid w:val="0028234C"/>
    <w:rsid w:val="00284C86"/>
    <w:rsid w:val="00292302"/>
    <w:rsid w:val="0029333B"/>
    <w:rsid w:val="0029416E"/>
    <w:rsid w:val="00296AC6"/>
    <w:rsid w:val="002973AE"/>
    <w:rsid w:val="002A3DDE"/>
    <w:rsid w:val="002A4E9A"/>
    <w:rsid w:val="002A7436"/>
    <w:rsid w:val="002B0788"/>
    <w:rsid w:val="002B124C"/>
    <w:rsid w:val="002B24FF"/>
    <w:rsid w:val="002B2D84"/>
    <w:rsid w:val="002C0BDB"/>
    <w:rsid w:val="002C6686"/>
    <w:rsid w:val="002D02D9"/>
    <w:rsid w:val="002D145C"/>
    <w:rsid w:val="002D29B2"/>
    <w:rsid w:val="002D31E3"/>
    <w:rsid w:val="002D3C96"/>
    <w:rsid w:val="002D52D5"/>
    <w:rsid w:val="002E7AD5"/>
    <w:rsid w:val="002F0D4E"/>
    <w:rsid w:val="002F16AD"/>
    <w:rsid w:val="002F2615"/>
    <w:rsid w:val="002F298A"/>
    <w:rsid w:val="002F2E04"/>
    <w:rsid w:val="002F49E7"/>
    <w:rsid w:val="002F5193"/>
    <w:rsid w:val="002F58F1"/>
    <w:rsid w:val="002F65E3"/>
    <w:rsid w:val="002F7B2E"/>
    <w:rsid w:val="003003A3"/>
    <w:rsid w:val="0030445D"/>
    <w:rsid w:val="00310773"/>
    <w:rsid w:val="003137A5"/>
    <w:rsid w:val="00313AAA"/>
    <w:rsid w:val="00314F96"/>
    <w:rsid w:val="003166EA"/>
    <w:rsid w:val="003174CF"/>
    <w:rsid w:val="00317A89"/>
    <w:rsid w:val="00317FFD"/>
    <w:rsid w:val="003201B3"/>
    <w:rsid w:val="0032255E"/>
    <w:rsid w:val="00327220"/>
    <w:rsid w:val="003307CD"/>
    <w:rsid w:val="00334469"/>
    <w:rsid w:val="003355DD"/>
    <w:rsid w:val="00337E75"/>
    <w:rsid w:val="00341931"/>
    <w:rsid w:val="00341DC0"/>
    <w:rsid w:val="00347310"/>
    <w:rsid w:val="0035264D"/>
    <w:rsid w:val="00352E06"/>
    <w:rsid w:val="0035469E"/>
    <w:rsid w:val="00357C0D"/>
    <w:rsid w:val="0036321F"/>
    <w:rsid w:val="00363B2E"/>
    <w:rsid w:val="00367CF4"/>
    <w:rsid w:val="003712C8"/>
    <w:rsid w:val="00371FB4"/>
    <w:rsid w:val="00372461"/>
    <w:rsid w:val="00372FA7"/>
    <w:rsid w:val="0037506B"/>
    <w:rsid w:val="0037724A"/>
    <w:rsid w:val="0038007E"/>
    <w:rsid w:val="00384127"/>
    <w:rsid w:val="003875DF"/>
    <w:rsid w:val="00392EF9"/>
    <w:rsid w:val="00393029"/>
    <w:rsid w:val="00394E03"/>
    <w:rsid w:val="003A2645"/>
    <w:rsid w:val="003A34F2"/>
    <w:rsid w:val="003A3754"/>
    <w:rsid w:val="003A5A14"/>
    <w:rsid w:val="003A642F"/>
    <w:rsid w:val="003A726E"/>
    <w:rsid w:val="003B52EE"/>
    <w:rsid w:val="003B5FEC"/>
    <w:rsid w:val="003B6485"/>
    <w:rsid w:val="003B7129"/>
    <w:rsid w:val="003C19A5"/>
    <w:rsid w:val="003C22F6"/>
    <w:rsid w:val="003C3B7B"/>
    <w:rsid w:val="003C4350"/>
    <w:rsid w:val="003C45BC"/>
    <w:rsid w:val="003C60BC"/>
    <w:rsid w:val="003C6693"/>
    <w:rsid w:val="003D18D5"/>
    <w:rsid w:val="003D587A"/>
    <w:rsid w:val="003E39CB"/>
    <w:rsid w:val="003E492B"/>
    <w:rsid w:val="003E5431"/>
    <w:rsid w:val="003F3929"/>
    <w:rsid w:val="003F3BB0"/>
    <w:rsid w:val="003F6D53"/>
    <w:rsid w:val="00401769"/>
    <w:rsid w:val="004031B1"/>
    <w:rsid w:val="00403F7D"/>
    <w:rsid w:val="00407B27"/>
    <w:rsid w:val="00417208"/>
    <w:rsid w:val="00422BC3"/>
    <w:rsid w:val="00425209"/>
    <w:rsid w:val="0042694A"/>
    <w:rsid w:val="00427206"/>
    <w:rsid w:val="0043170C"/>
    <w:rsid w:val="00432B5C"/>
    <w:rsid w:val="00436B6F"/>
    <w:rsid w:val="00437249"/>
    <w:rsid w:val="00437951"/>
    <w:rsid w:val="0044130D"/>
    <w:rsid w:val="00443BB1"/>
    <w:rsid w:val="00444E27"/>
    <w:rsid w:val="00445A8B"/>
    <w:rsid w:val="00445F43"/>
    <w:rsid w:val="00451978"/>
    <w:rsid w:val="00452699"/>
    <w:rsid w:val="00453480"/>
    <w:rsid w:val="00456AB9"/>
    <w:rsid w:val="004578BC"/>
    <w:rsid w:val="0046043F"/>
    <w:rsid w:val="004626A8"/>
    <w:rsid w:val="00462F38"/>
    <w:rsid w:val="00463FE8"/>
    <w:rsid w:val="00466DC9"/>
    <w:rsid w:val="00467E20"/>
    <w:rsid w:val="0047368C"/>
    <w:rsid w:val="00474423"/>
    <w:rsid w:val="004747D9"/>
    <w:rsid w:val="00480CAE"/>
    <w:rsid w:val="00486D6B"/>
    <w:rsid w:val="00487F6F"/>
    <w:rsid w:val="00496C57"/>
    <w:rsid w:val="004976C4"/>
    <w:rsid w:val="004A4868"/>
    <w:rsid w:val="004A4BB6"/>
    <w:rsid w:val="004A4F35"/>
    <w:rsid w:val="004A70DB"/>
    <w:rsid w:val="004B1A20"/>
    <w:rsid w:val="004B27EF"/>
    <w:rsid w:val="004B4F5D"/>
    <w:rsid w:val="004B63AF"/>
    <w:rsid w:val="004B6441"/>
    <w:rsid w:val="004B760B"/>
    <w:rsid w:val="004C0DCB"/>
    <w:rsid w:val="004C1A20"/>
    <w:rsid w:val="004C1E06"/>
    <w:rsid w:val="004C2200"/>
    <w:rsid w:val="004C3D48"/>
    <w:rsid w:val="004C4B7E"/>
    <w:rsid w:val="004D1DBC"/>
    <w:rsid w:val="004D2A77"/>
    <w:rsid w:val="004D4DCE"/>
    <w:rsid w:val="004D766B"/>
    <w:rsid w:val="004E032F"/>
    <w:rsid w:val="004E0D65"/>
    <w:rsid w:val="004E1A4D"/>
    <w:rsid w:val="004E1CB8"/>
    <w:rsid w:val="004F45A1"/>
    <w:rsid w:val="004F4921"/>
    <w:rsid w:val="004F4CFC"/>
    <w:rsid w:val="004F510A"/>
    <w:rsid w:val="004F52EE"/>
    <w:rsid w:val="004F7186"/>
    <w:rsid w:val="00503919"/>
    <w:rsid w:val="00505FEA"/>
    <w:rsid w:val="00520100"/>
    <w:rsid w:val="00522E77"/>
    <w:rsid w:val="00525F6C"/>
    <w:rsid w:val="00526D19"/>
    <w:rsid w:val="00527F4D"/>
    <w:rsid w:val="00532453"/>
    <w:rsid w:val="005336C9"/>
    <w:rsid w:val="00537773"/>
    <w:rsid w:val="00540CA9"/>
    <w:rsid w:val="00541F5A"/>
    <w:rsid w:val="00544488"/>
    <w:rsid w:val="00545A2E"/>
    <w:rsid w:val="00545EFA"/>
    <w:rsid w:val="00552CA8"/>
    <w:rsid w:val="00554A67"/>
    <w:rsid w:val="0055602E"/>
    <w:rsid w:val="00557FAF"/>
    <w:rsid w:val="005623FE"/>
    <w:rsid w:val="00563270"/>
    <w:rsid w:val="00566CF2"/>
    <w:rsid w:val="00567DF8"/>
    <w:rsid w:val="00572DE9"/>
    <w:rsid w:val="0057330E"/>
    <w:rsid w:val="005768A0"/>
    <w:rsid w:val="00580710"/>
    <w:rsid w:val="00580A66"/>
    <w:rsid w:val="00581F00"/>
    <w:rsid w:val="005829F3"/>
    <w:rsid w:val="00585E54"/>
    <w:rsid w:val="00586002"/>
    <w:rsid w:val="0059154F"/>
    <w:rsid w:val="0059501A"/>
    <w:rsid w:val="00595720"/>
    <w:rsid w:val="00595E45"/>
    <w:rsid w:val="005A0A0F"/>
    <w:rsid w:val="005A6511"/>
    <w:rsid w:val="005A6C8E"/>
    <w:rsid w:val="005A7810"/>
    <w:rsid w:val="005B5439"/>
    <w:rsid w:val="005B6E91"/>
    <w:rsid w:val="005B771D"/>
    <w:rsid w:val="005C02F5"/>
    <w:rsid w:val="005C1948"/>
    <w:rsid w:val="005C47DD"/>
    <w:rsid w:val="005C751E"/>
    <w:rsid w:val="005D1A68"/>
    <w:rsid w:val="005D3C23"/>
    <w:rsid w:val="005D4A89"/>
    <w:rsid w:val="005D540E"/>
    <w:rsid w:val="005E3BB7"/>
    <w:rsid w:val="005E5E8B"/>
    <w:rsid w:val="005F0B67"/>
    <w:rsid w:val="005F150E"/>
    <w:rsid w:val="005F2A67"/>
    <w:rsid w:val="005F3E77"/>
    <w:rsid w:val="005F659C"/>
    <w:rsid w:val="00604B99"/>
    <w:rsid w:val="00606861"/>
    <w:rsid w:val="00606DD7"/>
    <w:rsid w:val="0060752F"/>
    <w:rsid w:val="00610676"/>
    <w:rsid w:val="00611CCA"/>
    <w:rsid w:val="00612397"/>
    <w:rsid w:val="00612F11"/>
    <w:rsid w:val="0061353F"/>
    <w:rsid w:val="006175D0"/>
    <w:rsid w:val="006337F5"/>
    <w:rsid w:val="006345F0"/>
    <w:rsid w:val="00635097"/>
    <w:rsid w:val="00640753"/>
    <w:rsid w:val="00640C27"/>
    <w:rsid w:val="00641A4A"/>
    <w:rsid w:val="00643511"/>
    <w:rsid w:val="006574EA"/>
    <w:rsid w:val="00660414"/>
    <w:rsid w:val="006618AE"/>
    <w:rsid w:val="006622AF"/>
    <w:rsid w:val="00670F82"/>
    <w:rsid w:val="00672A78"/>
    <w:rsid w:val="00672F6E"/>
    <w:rsid w:val="00674793"/>
    <w:rsid w:val="00677465"/>
    <w:rsid w:val="00682352"/>
    <w:rsid w:val="006833C2"/>
    <w:rsid w:val="006839DE"/>
    <w:rsid w:val="00685296"/>
    <w:rsid w:val="00685D19"/>
    <w:rsid w:val="006902BE"/>
    <w:rsid w:val="006909E9"/>
    <w:rsid w:val="0069381F"/>
    <w:rsid w:val="00695640"/>
    <w:rsid w:val="006A0F1C"/>
    <w:rsid w:val="006A378C"/>
    <w:rsid w:val="006A7E40"/>
    <w:rsid w:val="006B0AD4"/>
    <w:rsid w:val="006B46B9"/>
    <w:rsid w:val="006B56AE"/>
    <w:rsid w:val="006B5FBF"/>
    <w:rsid w:val="006B6872"/>
    <w:rsid w:val="006C24A9"/>
    <w:rsid w:val="006C42BD"/>
    <w:rsid w:val="006C44AA"/>
    <w:rsid w:val="006C6928"/>
    <w:rsid w:val="006D020A"/>
    <w:rsid w:val="006D065A"/>
    <w:rsid w:val="006D0A39"/>
    <w:rsid w:val="006D1494"/>
    <w:rsid w:val="006D257C"/>
    <w:rsid w:val="006D3FDD"/>
    <w:rsid w:val="006D5748"/>
    <w:rsid w:val="006D5794"/>
    <w:rsid w:val="006E14EA"/>
    <w:rsid w:val="006E1627"/>
    <w:rsid w:val="006E1BC5"/>
    <w:rsid w:val="006E1DCD"/>
    <w:rsid w:val="006E2A5F"/>
    <w:rsid w:val="006E4D83"/>
    <w:rsid w:val="006F2853"/>
    <w:rsid w:val="006F33EE"/>
    <w:rsid w:val="006F39F1"/>
    <w:rsid w:val="006F51A3"/>
    <w:rsid w:val="0070056E"/>
    <w:rsid w:val="007011D2"/>
    <w:rsid w:val="00702C42"/>
    <w:rsid w:val="00703842"/>
    <w:rsid w:val="00703AE9"/>
    <w:rsid w:val="00714C1D"/>
    <w:rsid w:val="00715AC5"/>
    <w:rsid w:val="00720B9D"/>
    <w:rsid w:val="00721B66"/>
    <w:rsid w:val="00722FF0"/>
    <w:rsid w:val="00724CA2"/>
    <w:rsid w:val="00724E73"/>
    <w:rsid w:val="00732059"/>
    <w:rsid w:val="0073415E"/>
    <w:rsid w:val="00734672"/>
    <w:rsid w:val="0073737F"/>
    <w:rsid w:val="00740FB5"/>
    <w:rsid w:val="00743E6E"/>
    <w:rsid w:val="007464D4"/>
    <w:rsid w:val="00750780"/>
    <w:rsid w:val="00754699"/>
    <w:rsid w:val="00755F10"/>
    <w:rsid w:val="00760551"/>
    <w:rsid w:val="00761FF4"/>
    <w:rsid w:val="007624A6"/>
    <w:rsid w:val="007633F9"/>
    <w:rsid w:val="00781A4C"/>
    <w:rsid w:val="0078263B"/>
    <w:rsid w:val="007826ED"/>
    <w:rsid w:val="00784930"/>
    <w:rsid w:val="00790115"/>
    <w:rsid w:val="00792D69"/>
    <w:rsid w:val="007932BF"/>
    <w:rsid w:val="00793930"/>
    <w:rsid w:val="0079422A"/>
    <w:rsid w:val="007A015E"/>
    <w:rsid w:val="007A0572"/>
    <w:rsid w:val="007A16CF"/>
    <w:rsid w:val="007A2843"/>
    <w:rsid w:val="007A5401"/>
    <w:rsid w:val="007B07D9"/>
    <w:rsid w:val="007B2132"/>
    <w:rsid w:val="007B2FC0"/>
    <w:rsid w:val="007B3C1F"/>
    <w:rsid w:val="007B67C4"/>
    <w:rsid w:val="007B73B1"/>
    <w:rsid w:val="007B7DF1"/>
    <w:rsid w:val="007C0EAD"/>
    <w:rsid w:val="007C716D"/>
    <w:rsid w:val="007C7446"/>
    <w:rsid w:val="007C7D4B"/>
    <w:rsid w:val="007D2189"/>
    <w:rsid w:val="007D4E74"/>
    <w:rsid w:val="007D508C"/>
    <w:rsid w:val="007D591A"/>
    <w:rsid w:val="007E12C4"/>
    <w:rsid w:val="007E4ABC"/>
    <w:rsid w:val="007E724F"/>
    <w:rsid w:val="007F2BB4"/>
    <w:rsid w:val="007F3B9B"/>
    <w:rsid w:val="0080097D"/>
    <w:rsid w:val="00803C13"/>
    <w:rsid w:val="00805BEB"/>
    <w:rsid w:val="008061DB"/>
    <w:rsid w:val="008106C1"/>
    <w:rsid w:val="00812604"/>
    <w:rsid w:val="0081375E"/>
    <w:rsid w:val="008155A7"/>
    <w:rsid w:val="00817444"/>
    <w:rsid w:val="008205FA"/>
    <w:rsid w:val="0082216F"/>
    <w:rsid w:val="008222AA"/>
    <w:rsid w:val="008316EF"/>
    <w:rsid w:val="00832886"/>
    <w:rsid w:val="00833F46"/>
    <w:rsid w:val="00835177"/>
    <w:rsid w:val="0084096F"/>
    <w:rsid w:val="00846F52"/>
    <w:rsid w:val="00847573"/>
    <w:rsid w:val="00851CB4"/>
    <w:rsid w:val="00852DE5"/>
    <w:rsid w:val="00853147"/>
    <w:rsid w:val="00853A47"/>
    <w:rsid w:val="00854498"/>
    <w:rsid w:val="0085467C"/>
    <w:rsid w:val="008622AB"/>
    <w:rsid w:val="00862537"/>
    <w:rsid w:val="00862601"/>
    <w:rsid w:val="0086301A"/>
    <w:rsid w:val="00863B30"/>
    <w:rsid w:val="00870DA0"/>
    <w:rsid w:val="00874CEB"/>
    <w:rsid w:val="00881553"/>
    <w:rsid w:val="0088538A"/>
    <w:rsid w:val="00894E16"/>
    <w:rsid w:val="0089624D"/>
    <w:rsid w:val="00897360"/>
    <w:rsid w:val="00897AD5"/>
    <w:rsid w:val="008A3D6D"/>
    <w:rsid w:val="008B031F"/>
    <w:rsid w:val="008B1FD9"/>
    <w:rsid w:val="008B3F4B"/>
    <w:rsid w:val="008B4248"/>
    <w:rsid w:val="008B607A"/>
    <w:rsid w:val="008B7967"/>
    <w:rsid w:val="008C0290"/>
    <w:rsid w:val="008C2AA0"/>
    <w:rsid w:val="008C3668"/>
    <w:rsid w:val="008C3EBC"/>
    <w:rsid w:val="008C433B"/>
    <w:rsid w:val="008C46F7"/>
    <w:rsid w:val="008D325E"/>
    <w:rsid w:val="008D6555"/>
    <w:rsid w:val="008E2E11"/>
    <w:rsid w:val="008E392B"/>
    <w:rsid w:val="008E3A1A"/>
    <w:rsid w:val="008F16A7"/>
    <w:rsid w:val="008F3CA8"/>
    <w:rsid w:val="008F59E5"/>
    <w:rsid w:val="008F7549"/>
    <w:rsid w:val="009001CB"/>
    <w:rsid w:val="00900566"/>
    <w:rsid w:val="00900D73"/>
    <w:rsid w:val="0090134D"/>
    <w:rsid w:val="0090177E"/>
    <w:rsid w:val="00901AF5"/>
    <w:rsid w:val="00901CBA"/>
    <w:rsid w:val="00901E4C"/>
    <w:rsid w:val="0090291B"/>
    <w:rsid w:val="00903FB0"/>
    <w:rsid w:val="00906EB6"/>
    <w:rsid w:val="009079C1"/>
    <w:rsid w:val="00907E63"/>
    <w:rsid w:val="00912656"/>
    <w:rsid w:val="009141B2"/>
    <w:rsid w:val="00916943"/>
    <w:rsid w:val="00920000"/>
    <w:rsid w:val="00927D07"/>
    <w:rsid w:val="00931984"/>
    <w:rsid w:val="00932AEF"/>
    <w:rsid w:val="00932B7A"/>
    <w:rsid w:val="00945213"/>
    <w:rsid w:val="009468E2"/>
    <w:rsid w:val="00955A41"/>
    <w:rsid w:val="00955CE0"/>
    <w:rsid w:val="009603C2"/>
    <w:rsid w:val="00961142"/>
    <w:rsid w:val="009613AB"/>
    <w:rsid w:val="00961865"/>
    <w:rsid w:val="0096272D"/>
    <w:rsid w:val="009662EC"/>
    <w:rsid w:val="009676FF"/>
    <w:rsid w:val="0097054A"/>
    <w:rsid w:val="00973791"/>
    <w:rsid w:val="00975077"/>
    <w:rsid w:val="0098117F"/>
    <w:rsid w:val="009819A2"/>
    <w:rsid w:val="00983D5C"/>
    <w:rsid w:val="00985A15"/>
    <w:rsid w:val="009869BF"/>
    <w:rsid w:val="00991F5C"/>
    <w:rsid w:val="00994C6C"/>
    <w:rsid w:val="0099687F"/>
    <w:rsid w:val="009974B5"/>
    <w:rsid w:val="00997606"/>
    <w:rsid w:val="009977C0"/>
    <w:rsid w:val="009A12C1"/>
    <w:rsid w:val="009A1FF2"/>
    <w:rsid w:val="009A3B38"/>
    <w:rsid w:val="009A6204"/>
    <w:rsid w:val="009A658D"/>
    <w:rsid w:val="009A6E6B"/>
    <w:rsid w:val="009B3771"/>
    <w:rsid w:val="009B6167"/>
    <w:rsid w:val="009B7ACB"/>
    <w:rsid w:val="009B7E2B"/>
    <w:rsid w:val="009C0146"/>
    <w:rsid w:val="009C14CC"/>
    <w:rsid w:val="009C198D"/>
    <w:rsid w:val="009C7D1E"/>
    <w:rsid w:val="009D0E6C"/>
    <w:rsid w:val="009D68E4"/>
    <w:rsid w:val="009D7D34"/>
    <w:rsid w:val="009E7747"/>
    <w:rsid w:val="009F1009"/>
    <w:rsid w:val="009F2D7A"/>
    <w:rsid w:val="009F30A4"/>
    <w:rsid w:val="009F3A4E"/>
    <w:rsid w:val="009F3C4A"/>
    <w:rsid w:val="009F47C4"/>
    <w:rsid w:val="009F59B4"/>
    <w:rsid w:val="009F6880"/>
    <w:rsid w:val="00A012D1"/>
    <w:rsid w:val="00A02891"/>
    <w:rsid w:val="00A02B50"/>
    <w:rsid w:val="00A04763"/>
    <w:rsid w:val="00A0548D"/>
    <w:rsid w:val="00A06877"/>
    <w:rsid w:val="00A076A7"/>
    <w:rsid w:val="00A077B5"/>
    <w:rsid w:val="00A07D43"/>
    <w:rsid w:val="00A111EC"/>
    <w:rsid w:val="00A12C32"/>
    <w:rsid w:val="00A1378A"/>
    <w:rsid w:val="00A16776"/>
    <w:rsid w:val="00A21D3D"/>
    <w:rsid w:val="00A2573A"/>
    <w:rsid w:val="00A26240"/>
    <w:rsid w:val="00A2751B"/>
    <w:rsid w:val="00A30936"/>
    <w:rsid w:val="00A3120A"/>
    <w:rsid w:val="00A31E48"/>
    <w:rsid w:val="00A32B87"/>
    <w:rsid w:val="00A34062"/>
    <w:rsid w:val="00A351E5"/>
    <w:rsid w:val="00A412FE"/>
    <w:rsid w:val="00A4145B"/>
    <w:rsid w:val="00A41C5A"/>
    <w:rsid w:val="00A41EEB"/>
    <w:rsid w:val="00A42148"/>
    <w:rsid w:val="00A43943"/>
    <w:rsid w:val="00A43D5D"/>
    <w:rsid w:val="00A45A21"/>
    <w:rsid w:val="00A45FA3"/>
    <w:rsid w:val="00A51780"/>
    <w:rsid w:val="00A5446D"/>
    <w:rsid w:val="00A550A5"/>
    <w:rsid w:val="00A55318"/>
    <w:rsid w:val="00A615C8"/>
    <w:rsid w:val="00A66BFE"/>
    <w:rsid w:val="00A72861"/>
    <w:rsid w:val="00A8603A"/>
    <w:rsid w:val="00A86157"/>
    <w:rsid w:val="00A87C7A"/>
    <w:rsid w:val="00A9232E"/>
    <w:rsid w:val="00A938F1"/>
    <w:rsid w:val="00A9559E"/>
    <w:rsid w:val="00AA0D6D"/>
    <w:rsid w:val="00AA52B1"/>
    <w:rsid w:val="00AA5E8E"/>
    <w:rsid w:val="00AA74A5"/>
    <w:rsid w:val="00AB092A"/>
    <w:rsid w:val="00AB2066"/>
    <w:rsid w:val="00AB24B0"/>
    <w:rsid w:val="00AB34B0"/>
    <w:rsid w:val="00AB5792"/>
    <w:rsid w:val="00AB7365"/>
    <w:rsid w:val="00AC2760"/>
    <w:rsid w:val="00AC6880"/>
    <w:rsid w:val="00AC6DBF"/>
    <w:rsid w:val="00AC770C"/>
    <w:rsid w:val="00AD4D27"/>
    <w:rsid w:val="00AD7201"/>
    <w:rsid w:val="00AD7C1B"/>
    <w:rsid w:val="00AE55B5"/>
    <w:rsid w:val="00AE62F2"/>
    <w:rsid w:val="00AF1BE0"/>
    <w:rsid w:val="00AF2072"/>
    <w:rsid w:val="00AF2EFB"/>
    <w:rsid w:val="00AF3488"/>
    <w:rsid w:val="00AF4196"/>
    <w:rsid w:val="00AF626E"/>
    <w:rsid w:val="00B05010"/>
    <w:rsid w:val="00B05A48"/>
    <w:rsid w:val="00B05D7E"/>
    <w:rsid w:val="00B063D9"/>
    <w:rsid w:val="00B0685B"/>
    <w:rsid w:val="00B075FC"/>
    <w:rsid w:val="00B07AD8"/>
    <w:rsid w:val="00B07C1D"/>
    <w:rsid w:val="00B12470"/>
    <w:rsid w:val="00B13555"/>
    <w:rsid w:val="00B139EF"/>
    <w:rsid w:val="00B14B06"/>
    <w:rsid w:val="00B16D00"/>
    <w:rsid w:val="00B200A1"/>
    <w:rsid w:val="00B2029F"/>
    <w:rsid w:val="00B22BA8"/>
    <w:rsid w:val="00B257CA"/>
    <w:rsid w:val="00B25F89"/>
    <w:rsid w:val="00B27B21"/>
    <w:rsid w:val="00B3058F"/>
    <w:rsid w:val="00B33F57"/>
    <w:rsid w:val="00B343BC"/>
    <w:rsid w:val="00B34BD3"/>
    <w:rsid w:val="00B35293"/>
    <w:rsid w:val="00B402DF"/>
    <w:rsid w:val="00B4747A"/>
    <w:rsid w:val="00B51693"/>
    <w:rsid w:val="00B52469"/>
    <w:rsid w:val="00B544F4"/>
    <w:rsid w:val="00B54A05"/>
    <w:rsid w:val="00B54E9E"/>
    <w:rsid w:val="00B55F87"/>
    <w:rsid w:val="00B57BA5"/>
    <w:rsid w:val="00B656BD"/>
    <w:rsid w:val="00B67036"/>
    <w:rsid w:val="00B72392"/>
    <w:rsid w:val="00B7352F"/>
    <w:rsid w:val="00B73670"/>
    <w:rsid w:val="00B7466D"/>
    <w:rsid w:val="00B75E60"/>
    <w:rsid w:val="00B766D5"/>
    <w:rsid w:val="00B81E3C"/>
    <w:rsid w:val="00B82907"/>
    <w:rsid w:val="00B82E2D"/>
    <w:rsid w:val="00B82FC4"/>
    <w:rsid w:val="00B865E4"/>
    <w:rsid w:val="00B86850"/>
    <w:rsid w:val="00B86DB1"/>
    <w:rsid w:val="00B86E0F"/>
    <w:rsid w:val="00B870F6"/>
    <w:rsid w:val="00B87979"/>
    <w:rsid w:val="00B90E24"/>
    <w:rsid w:val="00B921EB"/>
    <w:rsid w:val="00B93ECA"/>
    <w:rsid w:val="00B9456C"/>
    <w:rsid w:val="00B95595"/>
    <w:rsid w:val="00B95E7C"/>
    <w:rsid w:val="00B96F0D"/>
    <w:rsid w:val="00BA0F8E"/>
    <w:rsid w:val="00BA19DF"/>
    <w:rsid w:val="00BB07B9"/>
    <w:rsid w:val="00BB08EE"/>
    <w:rsid w:val="00BB25D9"/>
    <w:rsid w:val="00BB3928"/>
    <w:rsid w:val="00BB47FD"/>
    <w:rsid w:val="00BB53FF"/>
    <w:rsid w:val="00BC6D70"/>
    <w:rsid w:val="00BE027E"/>
    <w:rsid w:val="00BE394E"/>
    <w:rsid w:val="00BE6453"/>
    <w:rsid w:val="00BF0C59"/>
    <w:rsid w:val="00BF14A5"/>
    <w:rsid w:val="00BF29DA"/>
    <w:rsid w:val="00BF322C"/>
    <w:rsid w:val="00BF3953"/>
    <w:rsid w:val="00BF3CBC"/>
    <w:rsid w:val="00BF3CCB"/>
    <w:rsid w:val="00BF55DE"/>
    <w:rsid w:val="00BF56E2"/>
    <w:rsid w:val="00BF74A6"/>
    <w:rsid w:val="00C0033D"/>
    <w:rsid w:val="00C03EB3"/>
    <w:rsid w:val="00C06092"/>
    <w:rsid w:val="00C07E92"/>
    <w:rsid w:val="00C10405"/>
    <w:rsid w:val="00C1398D"/>
    <w:rsid w:val="00C146DA"/>
    <w:rsid w:val="00C169D9"/>
    <w:rsid w:val="00C252E2"/>
    <w:rsid w:val="00C27792"/>
    <w:rsid w:val="00C31181"/>
    <w:rsid w:val="00C344A2"/>
    <w:rsid w:val="00C40256"/>
    <w:rsid w:val="00C40938"/>
    <w:rsid w:val="00C409A0"/>
    <w:rsid w:val="00C40C5A"/>
    <w:rsid w:val="00C44064"/>
    <w:rsid w:val="00C47ABD"/>
    <w:rsid w:val="00C51C10"/>
    <w:rsid w:val="00C5358E"/>
    <w:rsid w:val="00C5571B"/>
    <w:rsid w:val="00C5601A"/>
    <w:rsid w:val="00C56528"/>
    <w:rsid w:val="00C56C98"/>
    <w:rsid w:val="00C57AA2"/>
    <w:rsid w:val="00C60BA2"/>
    <w:rsid w:val="00C624DC"/>
    <w:rsid w:val="00C64DD0"/>
    <w:rsid w:val="00C72748"/>
    <w:rsid w:val="00C764B6"/>
    <w:rsid w:val="00C8219C"/>
    <w:rsid w:val="00C83140"/>
    <w:rsid w:val="00C84338"/>
    <w:rsid w:val="00C85C29"/>
    <w:rsid w:val="00C87F67"/>
    <w:rsid w:val="00C90CE0"/>
    <w:rsid w:val="00C90DCD"/>
    <w:rsid w:val="00C92322"/>
    <w:rsid w:val="00C933AE"/>
    <w:rsid w:val="00C936CC"/>
    <w:rsid w:val="00C93995"/>
    <w:rsid w:val="00C95667"/>
    <w:rsid w:val="00C956C5"/>
    <w:rsid w:val="00C97589"/>
    <w:rsid w:val="00CA08AF"/>
    <w:rsid w:val="00CA15E3"/>
    <w:rsid w:val="00CA1748"/>
    <w:rsid w:val="00CA31FA"/>
    <w:rsid w:val="00CA34EA"/>
    <w:rsid w:val="00CA460C"/>
    <w:rsid w:val="00CB114B"/>
    <w:rsid w:val="00CB22BE"/>
    <w:rsid w:val="00CB4E38"/>
    <w:rsid w:val="00CB5C7E"/>
    <w:rsid w:val="00CC0785"/>
    <w:rsid w:val="00CC1529"/>
    <w:rsid w:val="00CC3FF6"/>
    <w:rsid w:val="00CD5CDB"/>
    <w:rsid w:val="00CD78AD"/>
    <w:rsid w:val="00CE4125"/>
    <w:rsid w:val="00CE64CC"/>
    <w:rsid w:val="00CE66E1"/>
    <w:rsid w:val="00CF1138"/>
    <w:rsid w:val="00CF2C1E"/>
    <w:rsid w:val="00D01201"/>
    <w:rsid w:val="00D03E04"/>
    <w:rsid w:val="00D069C0"/>
    <w:rsid w:val="00D124CE"/>
    <w:rsid w:val="00D126BA"/>
    <w:rsid w:val="00D1722C"/>
    <w:rsid w:val="00D22BC0"/>
    <w:rsid w:val="00D23827"/>
    <w:rsid w:val="00D24479"/>
    <w:rsid w:val="00D256CB"/>
    <w:rsid w:val="00D26710"/>
    <w:rsid w:val="00D27D59"/>
    <w:rsid w:val="00D316AB"/>
    <w:rsid w:val="00D33246"/>
    <w:rsid w:val="00D3350A"/>
    <w:rsid w:val="00D345EA"/>
    <w:rsid w:val="00D369FB"/>
    <w:rsid w:val="00D408B1"/>
    <w:rsid w:val="00D42C7C"/>
    <w:rsid w:val="00D43584"/>
    <w:rsid w:val="00D44244"/>
    <w:rsid w:val="00D4436F"/>
    <w:rsid w:val="00D45E39"/>
    <w:rsid w:val="00D46EB1"/>
    <w:rsid w:val="00D52DE1"/>
    <w:rsid w:val="00D539E7"/>
    <w:rsid w:val="00D60977"/>
    <w:rsid w:val="00D615FA"/>
    <w:rsid w:val="00D66124"/>
    <w:rsid w:val="00D6686E"/>
    <w:rsid w:val="00D670A6"/>
    <w:rsid w:val="00D731F0"/>
    <w:rsid w:val="00D743A2"/>
    <w:rsid w:val="00D74E23"/>
    <w:rsid w:val="00D74EA0"/>
    <w:rsid w:val="00D81A1A"/>
    <w:rsid w:val="00D84185"/>
    <w:rsid w:val="00D84714"/>
    <w:rsid w:val="00D86511"/>
    <w:rsid w:val="00D87D92"/>
    <w:rsid w:val="00D91CBD"/>
    <w:rsid w:val="00D94165"/>
    <w:rsid w:val="00D960A8"/>
    <w:rsid w:val="00D9689F"/>
    <w:rsid w:val="00D97564"/>
    <w:rsid w:val="00D97DF0"/>
    <w:rsid w:val="00DA1023"/>
    <w:rsid w:val="00DA2AA1"/>
    <w:rsid w:val="00DA58B3"/>
    <w:rsid w:val="00DA6296"/>
    <w:rsid w:val="00DA7303"/>
    <w:rsid w:val="00DA788A"/>
    <w:rsid w:val="00DB4C99"/>
    <w:rsid w:val="00DB4CF5"/>
    <w:rsid w:val="00DB53A9"/>
    <w:rsid w:val="00DB6564"/>
    <w:rsid w:val="00DC0C6B"/>
    <w:rsid w:val="00DC1E6B"/>
    <w:rsid w:val="00DC1F71"/>
    <w:rsid w:val="00DC5853"/>
    <w:rsid w:val="00DC6096"/>
    <w:rsid w:val="00DC7635"/>
    <w:rsid w:val="00DD00DC"/>
    <w:rsid w:val="00DD080A"/>
    <w:rsid w:val="00DD151C"/>
    <w:rsid w:val="00DD2673"/>
    <w:rsid w:val="00DD388C"/>
    <w:rsid w:val="00DD5A80"/>
    <w:rsid w:val="00DE0620"/>
    <w:rsid w:val="00DE32FB"/>
    <w:rsid w:val="00DE3EC4"/>
    <w:rsid w:val="00DF5D85"/>
    <w:rsid w:val="00DF685F"/>
    <w:rsid w:val="00DF6D42"/>
    <w:rsid w:val="00E02001"/>
    <w:rsid w:val="00E0329F"/>
    <w:rsid w:val="00E044EE"/>
    <w:rsid w:val="00E04CE2"/>
    <w:rsid w:val="00E05F18"/>
    <w:rsid w:val="00E1072B"/>
    <w:rsid w:val="00E110ED"/>
    <w:rsid w:val="00E16329"/>
    <w:rsid w:val="00E16BEB"/>
    <w:rsid w:val="00E17C07"/>
    <w:rsid w:val="00E201A0"/>
    <w:rsid w:val="00E2470C"/>
    <w:rsid w:val="00E24C7A"/>
    <w:rsid w:val="00E31293"/>
    <w:rsid w:val="00E353D9"/>
    <w:rsid w:val="00E36FD7"/>
    <w:rsid w:val="00E37B95"/>
    <w:rsid w:val="00E42259"/>
    <w:rsid w:val="00E4697E"/>
    <w:rsid w:val="00E47928"/>
    <w:rsid w:val="00E51A00"/>
    <w:rsid w:val="00E524EC"/>
    <w:rsid w:val="00E528DA"/>
    <w:rsid w:val="00E53E62"/>
    <w:rsid w:val="00E5630C"/>
    <w:rsid w:val="00E5677B"/>
    <w:rsid w:val="00E63E2A"/>
    <w:rsid w:val="00E71B85"/>
    <w:rsid w:val="00E72A49"/>
    <w:rsid w:val="00E732C6"/>
    <w:rsid w:val="00E74385"/>
    <w:rsid w:val="00E802A4"/>
    <w:rsid w:val="00E80C8E"/>
    <w:rsid w:val="00E80D25"/>
    <w:rsid w:val="00E90760"/>
    <w:rsid w:val="00E910EA"/>
    <w:rsid w:val="00E951E2"/>
    <w:rsid w:val="00E97C65"/>
    <w:rsid w:val="00EA2ECF"/>
    <w:rsid w:val="00EA3528"/>
    <w:rsid w:val="00EA4E48"/>
    <w:rsid w:val="00EB03B4"/>
    <w:rsid w:val="00EB35AB"/>
    <w:rsid w:val="00EB7B9A"/>
    <w:rsid w:val="00EC0D2F"/>
    <w:rsid w:val="00EC5274"/>
    <w:rsid w:val="00EC695F"/>
    <w:rsid w:val="00ED0741"/>
    <w:rsid w:val="00ED2993"/>
    <w:rsid w:val="00ED3402"/>
    <w:rsid w:val="00ED596D"/>
    <w:rsid w:val="00ED7841"/>
    <w:rsid w:val="00EE13A7"/>
    <w:rsid w:val="00EE20AF"/>
    <w:rsid w:val="00EE2736"/>
    <w:rsid w:val="00EE5092"/>
    <w:rsid w:val="00EE5EA9"/>
    <w:rsid w:val="00EE65FD"/>
    <w:rsid w:val="00EE6E98"/>
    <w:rsid w:val="00EF2690"/>
    <w:rsid w:val="00EF3278"/>
    <w:rsid w:val="00EF445D"/>
    <w:rsid w:val="00EF590E"/>
    <w:rsid w:val="00EF5E52"/>
    <w:rsid w:val="00EF6FE2"/>
    <w:rsid w:val="00F00C87"/>
    <w:rsid w:val="00F00E4D"/>
    <w:rsid w:val="00F04AD2"/>
    <w:rsid w:val="00F05DBF"/>
    <w:rsid w:val="00F066AF"/>
    <w:rsid w:val="00F0754F"/>
    <w:rsid w:val="00F076E3"/>
    <w:rsid w:val="00F1133F"/>
    <w:rsid w:val="00F11B74"/>
    <w:rsid w:val="00F11EE6"/>
    <w:rsid w:val="00F12A27"/>
    <w:rsid w:val="00F14050"/>
    <w:rsid w:val="00F16617"/>
    <w:rsid w:val="00F17775"/>
    <w:rsid w:val="00F21073"/>
    <w:rsid w:val="00F24B48"/>
    <w:rsid w:val="00F279E8"/>
    <w:rsid w:val="00F32BFA"/>
    <w:rsid w:val="00F33343"/>
    <w:rsid w:val="00F3405E"/>
    <w:rsid w:val="00F35D40"/>
    <w:rsid w:val="00F37717"/>
    <w:rsid w:val="00F37CE3"/>
    <w:rsid w:val="00F41DE5"/>
    <w:rsid w:val="00F45757"/>
    <w:rsid w:val="00F56F72"/>
    <w:rsid w:val="00F60068"/>
    <w:rsid w:val="00F621EF"/>
    <w:rsid w:val="00F629F1"/>
    <w:rsid w:val="00F62DCB"/>
    <w:rsid w:val="00F633E2"/>
    <w:rsid w:val="00F6641E"/>
    <w:rsid w:val="00F67D6A"/>
    <w:rsid w:val="00F72A1C"/>
    <w:rsid w:val="00F72A48"/>
    <w:rsid w:val="00F73B36"/>
    <w:rsid w:val="00F74964"/>
    <w:rsid w:val="00F7569D"/>
    <w:rsid w:val="00F762F3"/>
    <w:rsid w:val="00F84676"/>
    <w:rsid w:val="00F92C18"/>
    <w:rsid w:val="00F92DF8"/>
    <w:rsid w:val="00F93A02"/>
    <w:rsid w:val="00F94D51"/>
    <w:rsid w:val="00F95ACC"/>
    <w:rsid w:val="00F95E2E"/>
    <w:rsid w:val="00F9691F"/>
    <w:rsid w:val="00FA0B0E"/>
    <w:rsid w:val="00FA0CEF"/>
    <w:rsid w:val="00FA0DDD"/>
    <w:rsid w:val="00FA1A2D"/>
    <w:rsid w:val="00FA7949"/>
    <w:rsid w:val="00FB0786"/>
    <w:rsid w:val="00FB1744"/>
    <w:rsid w:val="00FB73D4"/>
    <w:rsid w:val="00FB768F"/>
    <w:rsid w:val="00FC0F92"/>
    <w:rsid w:val="00FC1F9C"/>
    <w:rsid w:val="00FC21FD"/>
    <w:rsid w:val="00FC22FC"/>
    <w:rsid w:val="00FC2561"/>
    <w:rsid w:val="00FC2BE6"/>
    <w:rsid w:val="00FC3CD1"/>
    <w:rsid w:val="00FD0179"/>
    <w:rsid w:val="00FD1BAD"/>
    <w:rsid w:val="00FD4D7A"/>
    <w:rsid w:val="00FD7A53"/>
    <w:rsid w:val="00FE1CBA"/>
    <w:rsid w:val="00FE280A"/>
    <w:rsid w:val="00FE326A"/>
    <w:rsid w:val="00FE6EC6"/>
    <w:rsid w:val="00FF01E4"/>
    <w:rsid w:val="00FF202C"/>
    <w:rsid w:val="00FF37F2"/>
    <w:rsid w:val="00FF3964"/>
    <w:rsid w:val="55666DE8"/>
    <w:rsid w:val="5DDCF1D8"/>
    <w:rsid w:val="7E848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9DBB6A"/>
  <w15:docId w15:val="{0F580537-697C-4964-BC83-75817273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40" w:line="288" w:lineRule="auto"/>
      </w:pPr>
    </w:pPrDefault>
  </w:docDefaults>
  <w:latentStyles w:defLockedState="0" w:defUIPriority="99" w:defSemiHidden="0" w:defUnhideWhenUsed="0" w:defQFormat="0" w:count="372">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qFormat="1"/>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2"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qFormat="1"/>
    <w:lsdException w:name="Intense Reference" w:qFormat="1"/>
    <w:lsdException w:name="Book Title" w:uiPriority="33"/>
    <w:lsdException w:name="Bibliography" w:semiHidden="1" w:uiPriority="37" w:unhideWhenUsed="1"/>
    <w:lsdException w:name="TOC Heading" w:semiHidden="1" w:uiPriority="8"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next w:val="BodyText"/>
    <w:uiPriority w:val="99"/>
    <w:rsid w:val="00E732C6"/>
    <w:pPr>
      <w:spacing w:before="240" w:after="0"/>
    </w:pPr>
    <w:rPr>
      <w:szCs w:val="20"/>
    </w:rPr>
  </w:style>
  <w:style w:type="paragraph" w:styleId="Heading1">
    <w:name w:val="heading 1"/>
    <w:basedOn w:val="Normal"/>
    <w:next w:val="BodyTextafterheading"/>
    <w:link w:val="Heading1Char"/>
    <w:uiPriority w:val="9"/>
    <w:qFormat/>
    <w:rsid w:val="00C5571B"/>
    <w:pPr>
      <w:keepNext/>
      <w:keepLines/>
      <w:pageBreakBefore/>
      <w:numPr>
        <w:numId w:val="15"/>
      </w:numPr>
      <w:pBdr>
        <w:top w:val="single" w:sz="48" w:space="1" w:color="1E3C78" w:themeColor="text1"/>
        <w:left w:val="single" w:sz="48" w:space="4" w:color="1E3C78" w:themeColor="text1"/>
        <w:bottom w:val="single" w:sz="48" w:space="1" w:color="1E3C78" w:themeColor="text1"/>
        <w:right w:val="single" w:sz="48" w:space="4" w:color="1E3C78" w:themeColor="text1"/>
      </w:pBdr>
      <w:shd w:val="clear" w:color="auto" w:fill="1E3C78" w:themeFill="text1"/>
      <w:spacing w:before="480" w:after="360"/>
      <w:outlineLvl w:val="0"/>
    </w:pPr>
    <w:rPr>
      <w:rFonts w:asciiTheme="majorHAnsi" w:eastAsiaTheme="majorEastAsia" w:hAnsiTheme="majorHAnsi" w:cs="Arial"/>
      <w:b/>
      <w:sz w:val="36"/>
      <w:szCs w:val="36"/>
    </w:rPr>
  </w:style>
  <w:style w:type="paragraph" w:styleId="Heading2">
    <w:name w:val="heading 2"/>
    <w:basedOn w:val="Normal"/>
    <w:next w:val="BodyTextafterheading"/>
    <w:link w:val="Heading2Char"/>
    <w:uiPriority w:val="9"/>
    <w:unhideWhenUsed/>
    <w:qFormat/>
    <w:rsid w:val="00852DE5"/>
    <w:pPr>
      <w:keepNext/>
      <w:keepLines/>
      <w:spacing w:after="120"/>
      <w:outlineLvl w:val="1"/>
    </w:pPr>
    <w:rPr>
      <w:rFonts w:asciiTheme="majorHAnsi" w:eastAsiaTheme="majorEastAsia" w:hAnsiTheme="majorHAnsi" w:cstheme="majorBidi"/>
      <w:b/>
      <w:color w:val="0070C0"/>
      <w:sz w:val="36"/>
      <w:szCs w:val="26"/>
    </w:rPr>
  </w:style>
  <w:style w:type="paragraph" w:styleId="Heading3">
    <w:name w:val="heading 3"/>
    <w:basedOn w:val="Heading2"/>
    <w:next w:val="BodyTextafterheading"/>
    <w:link w:val="Heading3Char"/>
    <w:uiPriority w:val="9"/>
    <w:unhideWhenUsed/>
    <w:qFormat/>
    <w:rsid w:val="00DE32FB"/>
    <w:pPr>
      <w:outlineLvl w:val="2"/>
    </w:pPr>
    <w:rPr>
      <w:sz w:val="28"/>
      <w:szCs w:val="24"/>
    </w:rPr>
  </w:style>
  <w:style w:type="paragraph" w:styleId="Heading4">
    <w:name w:val="heading 4"/>
    <w:basedOn w:val="BodyText"/>
    <w:next w:val="BodyTextafterheading"/>
    <w:link w:val="Heading4Char"/>
    <w:uiPriority w:val="9"/>
    <w:unhideWhenUsed/>
    <w:qFormat/>
    <w:rsid w:val="00852DE5"/>
    <w:pPr>
      <w:keepNext/>
      <w:keepLines/>
      <w:spacing w:before="280" w:after="120"/>
      <w:outlineLvl w:val="3"/>
    </w:pPr>
    <w:rPr>
      <w:rFonts w:eastAsiaTheme="majorEastAsia" w:cstheme="majorBidi"/>
      <w:b/>
      <w:iCs/>
      <w:color w:val="1E3C78" w:themeColor="text1"/>
      <w:sz w:val="24"/>
    </w:rPr>
  </w:style>
  <w:style w:type="paragraph" w:styleId="Heading5">
    <w:name w:val="heading 5"/>
    <w:basedOn w:val="Heading4"/>
    <w:next w:val="BodyTextafterheading"/>
    <w:link w:val="Heading5Char"/>
    <w:uiPriority w:val="9"/>
    <w:unhideWhenUsed/>
    <w:rsid w:val="00DF5D85"/>
    <w:pPr>
      <w:outlineLvl w:val="4"/>
    </w:pPr>
    <w:rPr>
      <w:i/>
    </w:rPr>
  </w:style>
  <w:style w:type="paragraph" w:styleId="Heading6">
    <w:name w:val="heading 6"/>
    <w:basedOn w:val="Heading5"/>
    <w:next w:val="BodyTextafterheading"/>
    <w:link w:val="Heading6Char"/>
    <w:uiPriority w:val="9"/>
    <w:unhideWhenUsed/>
    <w:rsid w:val="00DF5D85"/>
    <w:pPr>
      <w:outlineLvl w:val="5"/>
    </w:pPr>
    <w:rPr>
      <w:b w:val="0"/>
    </w:rPr>
  </w:style>
  <w:style w:type="paragraph" w:styleId="Heading7">
    <w:name w:val="heading 7"/>
    <w:next w:val="BodyText"/>
    <w:link w:val="Heading7Char"/>
    <w:uiPriority w:val="9"/>
    <w:semiHidden/>
    <w:rsid w:val="00DE32FB"/>
    <w:pPr>
      <w:outlineLvl w:val="6"/>
    </w:pPr>
    <w:rPr>
      <w:rFonts w:cs="Arial"/>
      <w:sz w:val="20"/>
      <w:szCs w:val="28"/>
    </w:rPr>
  </w:style>
  <w:style w:type="paragraph" w:styleId="Heading8">
    <w:name w:val="heading 8"/>
    <w:basedOn w:val="Normal"/>
    <w:next w:val="BodyText"/>
    <w:link w:val="Heading8Char"/>
    <w:uiPriority w:val="9"/>
    <w:semiHidden/>
    <w:rsid w:val="00DF5D85"/>
    <w:pPr>
      <w:keepNext/>
      <w:keepLines/>
      <w:spacing w:before="40"/>
      <w:outlineLvl w:val="7"/>
    </w:pPr>
    <w:rPr>
      <w:rFonts w:eastAsiaTheme="majorEastAsia" w:cstheme="majorBidi"/>
      <w:szCs w:val="21"/>
    </w:rPr>
  </w:style>
  <w:style w:type="paragraph" w:styleId="Heading9">
    <w:name w:val="heading 9"/>
    <w:basedOn w:val="Heading8"/>
    <w:next w:val="BodyText"/>
    <w:link w:val="Heading9Char"/>
    <w:uiPriority w:val="9"/>
    <w:semiHidden/>
    <w:rsid w:val="00184BFC"/>
    <w:pPr>
      <w:outlineLvl w:val="8"/>
    </w:pPr>
    <w:rPr>
      <w:rFonts w:asciiTheme="majorHAnsi" w:hAnsiTheme="majorHAnsi"/>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4"/>
    <w:qFormat/>
    <w:rsid w:val="00DF5D85"/>
    <w:pPr>
      <w:spacing w:after="680" w:line="300" w:lineRule="auto"/>
      <w:contextualSpacing/>
      <w:jc w:val="center"/>
    </w:pPr>
    <w:rPr>
      <w:rFonts w:asciiTheme="majorHAnsi" w:eastAsiaTheme="majorEastAsia" w:hAnsiTheme="majorHAnsi" w:cstheme="majorBidi"/>
      <w:b/>
      <w:color w:val="1E3C78" w:themeColor="text1"/>
      <w:spacing w:val="-10"/>
      <w:kern w:val="28"/>
      <w:sz w:val="56"/>
      <w:szCs w:val="56"/>
    </w:rPr>
  </w:style>
  <w:style w:type="character" w:customStyle="1" w:styleId="TitleChar">
    <w:name w:val="Title Char"/>
    <w:basedOn w:val="DefaultParagraphFont"/>
    <w:link w:val="Title"/>
    <w:uiPriority w:val="4"/>
    <w:rsid w:val="00DF5D85"/>
    <w:rPr>
      <w:rFonts w:asciiTheme="majorHAnsi" w:eastAsiaTheme="majorEastAsia" w:hAnsiTheme="majorHAnsi" w:cstheme="majorBidi"/>
      <w:b/>
      <w:color w:val="1E3C78" w:themeColor="text1"/>
      <w:spacing w:val="-10"/>
      <w:kern w:val="28"/>
      <w:sz w:val="56"/>
      <w:szCs w:val="56"/>
    </w:rPr>
  </w:style>
  <w:style w:type="paragraph" w:styleId="Subtitle">
    <w:name w:val="Subtitle"/>
    <w:basedOn w:val="Normal"/>
    <w:link w:val="SubtitleChar"/>
    <w:uiPriority w:val="5"/>
    <w:qFormat/>
    <w:rsid w:val="00DF5D85"/>
    <w:pPr>
      <w:numPr>
        <w:ilvl w:val="1"/>
      </w:numPr>
      <w:spacing w:after="160" w:line="480" w:lineRule="auto"/>
      <w:jc w:val="center"/>
    </w:pPr>
    <w:rPr>
      <w:rFonts w:eastAsiaTheme="minorEastAsia"/>
      <w:b/>
      <w:color w:val="000000" w:themeColor="text2"/>
      <w:spacing w:val="15"/>
      <w:sz w:val="32"/>
    </w:rPr>
  </w:style>
  <w:style w:type="character" w:customStyle="1" w:styleId="SubtitleChar">
    <w:name w:val="Subtitle Char"/>
    <w:basedOn w:val="DefaultParagraphFont"/>
    <w:link w:val="Subtitle"/>
    <w:uiPriority w:val="5"/>
    <w:rsid w:val="00DF5D85"/>
    <w:rPr>
      <w:rFonts w:eastAsiaTheme="minorEastAsia"/>
      <w:b/>
      <w:color w:val="000000" w:themeColor="text2"/>
      <w:spacing w:val="15"/>
      <w:sz w:val="32"/>
      <w:szCs w:val="20"/>
    </w:rPr>
  </w:style>
  <w:style w:type="character" w:customStyle="1" w:styleId="Heading1Char">
    <w:name w:val="Heading 1 Char"/>
    <w:basedOn w:val="DefaultParagraphFont"/>
    <w:link w:val="Heading1"/>
    <w:uiPriority w:val="9"/>
    <w:rsid w:val="00526D19"/>
    <w:rPr>
      <w:rFonts w:asciiTheme="majorHAnsi" w:eastAsiaTheme="majorEastAsia" w:hAnsiTheme="majorHAnsi" w:cs="Arial"/>
      <w:b/>
      <w:sz w:val="36"/>
      <w:szCs w:val="36"/>
      <w:shd w:val="clear" w:color="auto" w:fill="1E3C78" w:themeFill="text1"/>
    </w:rPr>
  </w:style>
  <w:style w:type="character" w:customStyle="1" w:styleId="Heading2Char">
    <w:name w:val="Heading 2 Char"/>
    <w:basedOn w:val="DefaultParagraphFont"/>
    <w:link w:val="Heading2"/>
    <w:uiPriority w:val="9"/>
    <w:rsid w:val="00852DE5"/>
    <w:rPr>
      <w:rFonts w:asciiTheme="majorHAnsi" w:eastAsiaTheme="majorEastAsia" w:hAnsiTheme="majorHAnsi" w:cstheme="majorBidi"/>
      <w:b/>
      <w:color w:val="0070C0"/>
      <w:sz w:val="36"/>
      <w:szCs w:val="26"/>
    </w:rPr>
  </w:style>
  <w:style w:type="character" w:customStyle="1" w:styleId="Heading3Char">
    <w:name w:val="Heading 3 Char"/>
    <w:basedOn w:val="DefaultParagraphFont"/>
    <w:link w:val="Heading3"/>
    <w:uiPriority w:val="9"/>
    <w:rsid w:val="00DE32FB"/>
    <w:rPr>
      <w:rFonts w:asciiTheme="majorHAnsi" w:eastAsiaTheme="majorEastAsia" w:hAnsiTheme="majorHAnsi" w:cstheme="majorBidi"/>
      <w:b/>
      <w:color w:val="0070C0"/>
      <w:sz w:val="28"/>
      <w:szCs w:val="24"/>
    </w:rPr>
  </w:style>
  <w:style w:type="character" w:styleId="Hyperlink">
    <w:name w:val="Hyperlink"/>
    <w:uiPriority w:val="99"/>
    <w:rsid w:val="00DF5D85"/>
    <w:rPr>
      <w:rFonts w:asciiTheme="minorHAnsi" w:hAnsiTheme="minorHAnsi" w:cs="Times New Roman" w:hint="default"/>
      <w:color w:val="0000FF"/>
      <w:u w:val="single"/>
    </w:rPr>
  </w:style>
  <w:style w:type="paragraph" w:styleId="TOC1">
    <w:name w:val="toc 1"/>
    <w:basedOn w:val="BodyText"/>
    <w:autoRedefine/>
    <w:uiPriority w:val="39"/>
    <w:qFormat/>
    <w:rsid w:val="0055602E"/>
    <w:pPr>
      <w:tabs>
        <w:tab w:val="right" w:leader="dot" w:pos="9000"/>
      </w:tabs>
      <w:spacing w:line="240" w:lineRule="auto"/>
      <w:ind w:left="360" w:hanging="360"/>
    </w:pPr>
    <w:rPr>
      <w:rFonts w:eastAsia="Times New Roman" w:cs="Times New Roman"/>
      <w:b/>
      <w:noProof/>
      <w:color w:val="000000"/>
      <w:szCs w:val="24"/>
      <w:lang w:eastAsia="ja-JP"/>
    </w:rPr>
  </w:style>
  <w:style w:type="paragraph" w:styleId="TOC2">
    <w:name w:val="toc 2"/>
    <w:basedOn w:val="TOC1"/>
    <w:autoRedefine/>
    <w:uiPriority w:val="39"/>
    <w:qFormat/>
    <w:rsid w:val="00F11B74"/>
    <w:pPr>
      <w:spacing w:before="0"/>
      <w:ind w:left="720"/>
    </w:pPr>
    <w:rPr>
      <w:b w:val="0"/>
    </w:rPr>
  </w:style>
  <w:style w:type="paragraph" w:styleId="TOC3">
    <w:name w:val="toc 3"/>
    <w:basedOn w:val="TOC2"/>
    <w:autoRedefine/>
    <w:uiPriority w:val="39"/>
    <w:semiHidden/>
    <w:rsid w:val="00670F82"/>
    <w:pPr>
      <w:ind w:left="1080"/>
      <w:contextualSpacing/>
    </w:pPr>
  </w:style>
  <w:style w:type="paragraph" w:styleId="FootnoteText">
    <w:name w:val="footnote text"/>
    <w:basedOn w:val="Normal"/>
    <w:link w:val="FootnoteTextChar"/>
    <w:semiHidden/>
    <w:unhideWhenUsed/>
    <w:rsid w:val="006B6872"/>
    <w:pPr>
      <w:spacing w:line="240" w:lineRule="auto"/>
    </w:pPr>
    <w:rPr>
      <w:rFonts w:eastAsia="Times New Roman" w:cs="Times New Roman"/>
      <w:sz w:val="20"/>
    </w:rPr>
  </w:style>
  <w:style w:type="character" w:customStyle="1" w:styleId="FootnoteTextChar">
    <w:name w:val="Footnote Text Char"/>
    <w:basedOn w:val="DefaultParagraphFont"/>
    <w:link w:val="FootnoteText"/>
    <w:semiHidden/>
    <w:rsid w:val="006B6872"/>
    <w:rPr>
      <w:rFonts w:eastAsia="Times New Roman" w:cs="Times New Roman"/>
      <w:sz w:val="20"/>
      <w:szCs w:val="20"/>
    </w:rPr>
  </w:style>
  <w:style w:type="paragraph" w:styleId="CommentText">
    <w:name w:val="annotation text"/>
    <w:basedOn w:val="Normal"/>
    <w:link w:val="CommentTextChar"/>
    <w:uiPriority w:val="99"/>
    <w:unhideWhenUsed/>
    <w:rsid w:val="00DF5D85"/>
    <w:pPr>
      <w:spacing w:line="240" w:lineRule="auto"/>
    </w:pPr>
    <w:rPr>
      <w:rFonts w:ascii="Segoe UI Semibold" w:eastAsia="Times New Roman" w:hAnsi="Segoe UI Semibold" w:cs="Times New Roman"/>
    </w:rPr>
  </w:style>
  <w:style w:type="character" w:customStyle="1" w:styleId="CommentTextChar">
    <w:name w:val="Comment Text Char"/>
    <w:basedOn w:val="DefaultParagraphFont"/>
    <w:link w:val="CommentText"/>
    <w:uiPriority w:val="99"/>
    <w:rsid w:val="00DF5D85"/>
    <w:rPr>
      <w:rFonts w:ascii="Segoe UI Semibold" w:eastAsia="Times New Roman" w:hAnsi="Segoe UI Semibold" w:cs="Times New Roman"/>
      <w:szCs w:val="20"/>
    </w:rPr>
  </w:style>
  <w:style w:type="paragraph" w:styleId="TOCHeading">
    <w:name w:val="TOC Heading"/>
    <w:next w:val="TOC1"/>
    <w:uiPriority w:val="8"/>
    <w:unhideWhenUsed/>
    <w:qFormat/>
    <w:rsid w:val="000A7BAB"/>
    <w:pPr>
      <w:pageBreakBefore/>
      <w:spacing w:after="480" w:line="240" w:lineRule="auto"/>
      <w:jc w:val="center"/>
      <w:outlineLvl w:val="0"/>
    </w:pPr>
    <w:rPr>
      <w:rFonts w:asciiTheme="majorHAnsi" w:eastAsia="Times New Roman" w:hAnsiTheme="majorHAnsi" w:cs="Times New Roman"/>
      <w:b/>
      <w:sz w:val="40"/>
      <w:szCs w:val="24"/>
    </w:rPr>
  </w:style>
  <w:style w:type="paragraph" w:styleId="Caption">
    <w:name w:val="caption"/>
    <w:basedOn w:val="BodyText"/>
    <w:next w:val="BodyText"/>
    <w:uiPriority w:val="2"/>
    <w:qFormat/>
    <w:rsid w:val="00BF3953"/>
    <w:pPr>
      <w:keepNext/>
      <w:spacing w:after="60"/>
    </w:pPr>
    <w:rPr>
      <w:b/>
      <w:iCs/>
      <w:color w:val="000000" w:themeColor="text2"/>
      <w:sz w:val="20"/>
      <w:szCs w:val="18"/>
    </w:rPr>
  </w:style>
  <w:style w:type="character" w:customStyle="1" w:styleId="StrongEmphasis">
    <w:name w:val="Strong Emphasis"/>
    <w:uiPriority w:val="3"/>
    <w:qFormat/>
    <w:rsid w:val="00DF5D85"/>
    <w:rPr>
      <w:b/>
      <w:i/>
    </w:rPr>
  </w:style>
  <w:style w:type="character" w:styleId="FootnoteReference">
    <w:name w:val="footnote reference"/>
    <w:semiHidden/>
    <w:unhideWhenUsed/>
    <w:rsid w:val="00DF5D85"/>
    <w:rPr>
      <w:rFonts w:asciiTheme="minorHAnsi" w:hAnsiTheme="minorHAnsi" w:cs="Times New Roman" w:hint="default"/>
      <w:vertAlign w:val="superscript"/>
    </w:rPr>
  </w:style>
  <w:style w:type="character" w:styleId="CommentReference">
    <w:name w:val="annotation reference"/>
    <w:uiPriority w:val="99"/>
    <w:semiHidden/>
    <w:unhideWhenUsed/>
    <w:rsid w:val="00DE32FB"/>
    <w:rPr>
      <w:rFonts w:ascii="Segoe UI Semibold" w:hAnsi="Segoe UI Semibold" w:cs="Times New Roman" w:hint="default"/>
      <w:sz w:val="16"/>
      <w:szCs w:val="16"/>
    </w:rPr>
  </w:style>
  <w:style w:type="paragraph" w:styleId="BalloonText">
    <w:name w:val="Balloon Text"/>
    <w:basedOn w:val="Normal"/>
    <w:link w:val="BalloonTextChar"/>
    <w:uiPriority w:val="99"/>
    <w:semiHidden/>
    <w:unhideWhenUsed/>
    <w:rsid w:val="00DF5D8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D8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F5D85"/>
    <w:pPr>
      <w:spacing w:after="200"/>
    </w:pPr>
    <w:rPr>
      <w:b/>
      <w:bCs/>
    </w:rPr>
  </w:style>
  <w:style w:type="character" w:customStyle="1" w:styleId="CommentSubjectChar">
    <w:name w:val="Comment Subject Char"/>
    <w:basedOn w:val="CommentTextChar"/>
    <w:link w:val="CommentSubject"/>
    <w:uiPriority w:val="99"/>
    <w:semiHidden/>
    <w:rsid w:val="00DF5D85"/>
    <w:rPr>
      <w:rFonts w:ascii="Segoe UI Semibold" w:eastAsia="Times New Roman" w:hAnsi="Segoe UI Semibold" w:cs="Times New Roman"/>
      <w:b/>
      <w:bCs/>
      <w:szCs w:val="20"/>
    </w:rPr>
  </w:style>
  <w:style w:type="character" w:styleId="Strong">
    <w:name w:val="Strong"/>
    <w:uiPriority w:val="3"/>
    <w:qFormat/>
    <w:rsid w:val="00DF5D85"/>
    <w:rPr>
      <w:b/>
      <w:bCs/>
    </w:rPr>
  </w:style>
  <w:style w:type="character" w:styleId="Emphasis">
    <w:name w:val="Emphasis"/>
    <w:uiPriority w:val="3"/>
    <w:qFormat/>
    <w:rsid w:val="00DF5D85"/>
    <w:rPr>
      <w:i/>
      <w:iCs/>
    </w:rPr>
  </w:style>
  <w:style w:type="character" w:styleId="FollowedHyperlink">
    <w:name w:val="FollowedHyperlink"/>
    <w:uiPriority w:val="99"/>
    <w:semiHidden/>
    <w:unhideWhenUsed/>
    <w:rsid w:val="00DF5D85"/>
    <w:rPr>
      <w:color w:val="7D868C" w:themeColor="followedHyperlink"/>
      <w:u w:val="single"/>
    </w:rPr>
  </w:style>
  <w:style w:type="paragraph" w:styleId="ListNumber">
    <w:name w:val="List Number"/>
    <w:basedOn w:val="BodyText"/>
    <w:uiPriority w:val="1"/>
    <w:qFormat/>
    <w:rsid w:val="00DE32FB"/>
    <w:pPr>
      <w:numPr>
        <w:numId w:val="3"/>
      </w:numPr>
      <w:contextualSpacing/>
    </w:pPr>
  </w:style>
  <w:style w:type="table" w:customStyle="1" w:styleId="HHSFinancialData">
    <w:name w:val="HHS Financial Data"/>
    <w:basedOn w:val="TableNormal"/>
    <w:uiPriority w:val="99"/>
    <w:rsid w:val="006C44AA"/>
    <w:pPr>
      <w:spacing w:after="0" w:line="240" w:lineRule="auto"/>
      <w:jc w:val="right"/>
    </w:pPr>
    <w:rPr>
      <w:sz w:val="20"/>
      <w:szCs w:val="20"/>
    </w:rPr>
    <w:tblPr>
      <w:tblStyleRowBandSize w:val="1"/>
      <w:tblCellMar>
        <w:top w:w="40" w:type="dxa"/>
        <w:left w:w="60" w:type="dxa"/>
        <w:bottom w:w="120" w:type="dxa"/>
        <w:right w:w="60" w:type="dxa"/>
      </w:tblCellMar>
    </w:tblPr>
    <w:trPr>
      <w:cantSplit/>
    </w:trPr>
    <w:tcPr>
      <w:vAlign w:val="center"/>
    </w:tcPr>
    <w:tblStylePr w:type="firstRow">
      <w:pPr>
        <w:wordWrap/>
        <w:jc w:val="center"/>
      </w:pPr>
      <w:rPr>
        <w:rFonts w:asciiTheme="minorHAnsi" w:hAnsiTheme="minorHAnsi"/>
        <w:b/>
        <w:sz w:val="18"/>
      </w:rPr>
      <w:tblPr/>
      <w:trPr>
        <w:tblHeader/>
      </w:trPr>
      <w:tcPr>
        <w:shd w:val="clear" w:color="auto" w:fill="C4DDF4" w:themeFill="accent1" w:themeFillTint="66"/>
      </w:tcPr>
    </w:tblStylePr>
    <w:tblStylePr w:type="lastRow">
      <w:rPr>
        <w:b/>
      </w:rPr>
      <w:tblPr/>
      <w:tcPr>
        <w:shd w:val="clear" w:color="auto" w:fill="C4DDF4" w:themeFill="accent1" w:themeFillTint="66"/>
      </w:tcPr>
    </w:tblStylePr>
    <w:tblStylePr w:type="firstCol">
      <w:pPr>
        <w:wordWrap/>
        <w:jc w:val="left"/>
      </w:pPr>
      <w:rPr>
        <w:b/>
      </w:rPr>
      <w:tblPr/>
      <w:trPr>
        <w:cantSplit w:val="0"/>
      </w:trPr>
      <w:tcPr>
        <w:tcMar>
          <w:top w:w="40" w:type="dxa"/>
          <w:left w:w="180" w:type="dxa"/>
          <w:bottom w:w="80" w:type="dxa"/>
          <w:right w:w="240" w:type="dxa"/>
        </w:tcMar>
      </w:tcPr>
    </w:tblStylePr>
    <w:tblStylePr w:type="lastCol">
      <w:rPr>
        <w:b/>
      </w:rPr>
      <w:tblPr/>
      <w:tcPr>
        <w:shd w:val="clear" w:color="auto" w:fill="C4DDF4" w:themeFill="accent1" w:themeFillTint="66"/>
      </w:tcPr>
    </w:tblStylePr>
    <w:tblStylePr w:type="band2Horz">
      <w:tblPr/>
      <w:tcPr>
        <w:shd w:val="clear" w:color="auto" w:fill="E1EEF9" w:themeFill="accent1" w:themeFillTint="33"/>
      </w:tcPr>
    </w:tblStylePr>
    <w:tblStylePr w:type="nwCell">
      <w:pPr>
        <w:wordWrap/>
        <w:jc w:val="left"/>
      </w:pPr>
    </w:tblStylePr>
  </w:style>
  <w:style w:type="table" w:customStyle="1" w:styleId="GridTable1Light-Accent61">
    <w:name w:val="Grid Table 1 Light - Accent 61"/>
    <w:basedOn w:val="TableNormal"/>
    <w:uiPriority w:val="46"/>
    <w:rsid w:val="00DF5D85"/>
    <w:pPr>
      <w:spacing w:after="0" w:line="240" w:lineRule="auto"/>
    </w:pPr>
    <w:rPr>
      <w:sz w:val="20"/>
      <w:szCs w:val="20"/>
    </w:rPr>
    <w:tblPr>
      <w:tblStyleRowBandSize w:val="1"/>
      <w:tblStyleColBandSize w:val="1"/>
      <w:tblBorders>
        <w:top w:val="single" w:sz="4" w:space="0" w:color="EBD09C" w:themeColor="accent6" w:themeTint="66"/>
        <w:left w:val="single" w:sz="4" w:space="0" w:color="EBD09C" w:themeColor="accent6" w:themeTint="66"/>
        <w:bottom w:val="single" w:sz="4" w:space="0" w:color="EBD09C" w:themeColor="accent6" w:themeTint="66"/>
        <w:right w:val="single" w:sz="4" w:space="0" w:color="EBD09C" w:themeColor="accent6" w:themeTint="66"/>
        <w:insideH w:val="single" w:sz="4" w:space="0" w:color="EBD09C" w:themeColor="accent6" w:themeTint="66"/>
        <w:insideV w:val="single" w:sz="4" w:space="0" w:color="EBD09C" w:themeColor="accent6" w:themeTint="66"/>
      </w:tblBorders>
    </w:tblPr>
    <w:tblStylePr w:type="firstRow">
      <w:rPr>
        <w:b/>
        <w:bCs/>
      </w:rPr>
      <w:tblPr/>
      <w:tcPr>
        <w:tcBorders>
          <w:bottom w:val="single" w:sz="12" w:space="0" w:color="E0B86A" w:themeColor="accent6" w:themeTint="99"/>
        </w:tcBorders>
      </w:tcPr>
    </w:tblStylePr>
    <w:tblStylePr w:type="lastRow">
      <w:rPr>
        <w:b/>
        <w:bCs/>
      </w:rPr>
      <w:tblPr/>
      <w:tcPr>
        <w:tcBorders>
          <w:top w:val="double" w:sz="2" w:space="0" w:color="E0B86A" w:themeColor="accent6" w:themeTint="99"/>
        </w:tcBorders>
      </w:tcPr>
    </w:tblStylePr>
    <w:tblStylePr w:type="firstCol">
      <w:rPr>
        <w:b/>
        <w:bCs/>
      </w:rPr>
    </w:tblStylePr>
    <w:tblStylePr w:type="lastCol">
      <w:rPr>
        <w:b/>
        <w:bCs/>
      </w:rPr>
    </w:tblStylePr>
  </w:style>
  <w:style w:type="table" w:styleId="TableGrid">
    <w:name w:val="Table Grid"/>
    <w:basedOn w:val="TableNormal"/>
    <w:uiPriority w:val="39"/>
    <w:rsid w:val="00DF5D85"/>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96AC6"/>
    <w:pPr>
      <w:spacing w:line="240" w:lineRule="auto"/>
      <w:ind w:left="180" w:hanging="180"/>
      <w:contextualSpacing/>
    </w:pPr>
    <w:rPr>
      <w:sz w:val="18"/>
    </w:rPr>
  </w:style>
  <w:style w:type="character" w:customStyle="1" w:styleId="EndnoteTextChar">
    <w:name w:val="Endnote Text Char"/>
    <w:basedOn w:val="DefaultParagraphFont"/>
    <w:link w:val="EndnoteText"/>
    <w:uiPriority w:val="99"/>
    <w:semiHidden/>
    <w:rsid w:val="00296AC6"/>
    <w:rPr>
      <w:sz w:val="18"/>
      <w:szCs w:val="20"/>
    </w:rPr>
  </w:style>
  <w:style w:type="character" w:styleId="EndnoteReference">
    <w:name w:val="endnote reference"/>
    <w:basedOn w:val="DefaultParagraphFont"/>
    <w:uiPriority w:val="99"/>
    <w:semiHidden/>
    <w:rsid w:val="0028234C"/>
    <w:rPr>
      <w:sz w:val="24"/>
      <w:vertAlign w:val="superscript"/>
    </w:rPr>
  </w:style>
  <w:style w:type="paragraph" w:styleId="ListBullet">
    <w:name w:val="List Bullet"/>
    <w:basedOn w:val="BodyText"/>
    <w:uiPriority w:val="1"/>
    <w:qFormat/>
    <w:rsid w:val="00DE32FB"/>
    <w:pPr>
      <w:numPr>
        <w:numId w:val="4"/>
      </w:numPr>
      <w:contextualSpacing/>
    </w:pPr>
    <w:rPr>
      <w:rFonts w:cs="Calibri"/>
    </w:rPr>
  </w:style>
  <w:style w:type="paragraph" w:styleId="ListParagraph">
    <w:name w:val="List Paragraph"/>
    <w:basedOn w:val="BodyText"/>
    <w:uiPriority w:val="34"/>
    <w:qFormat/>
    <w:rsid w:val="00DF5D85"/>
    <w:pPr>
      <w:ind w:left="720"/>
      <w:contextualSpacing/>
    </w:pPr>
  </w:style>
  <w:style w:type="character" w:styleId="HTMLCode">
    <w:name w:val="HTML Code"/>
    <w:uiPriority w:val="99"/>
    <w:semiHidden/>
    <w:rsid w:val="000C0B13"/>
    <w:rPr>
      <w:rFonts w:ascii="Segoe UI Semibold" w:hAnsi="Segoe UI Semibold" w:cs="Consolas"/>
      <w:b w:val="0"/>
      <w:sz w:val="24"/>
      <w:szCs w:val="20"/>
    </w:rPr>
  </w:style>
  <w:style w:type="character" w:styleId="PlaceholderText">
    <w:name w:val="Placeholder Text"/>
    <w:uiPriority w:val="99"/>
    <w:semiHidden/>
    <w:rsid w:val="000A7BAB"/>
    <w:rPr>
      <w:color w:val="767676"/>
    </w:rPr>
  </w:style>
  <w:style w:type="paragraph" w:styleId="Header">
    <w:name w:val="header"/>
    <w:basedOn w:val="Normal"/>
    <w:link w:val="HeaderChar"/>
    <w:uiPriority w:val="99"/>
    <w:semiHidden/>
    <w:rsid w:val="00DF5D8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C1A20"/>
    <w:rPr>
      <w:szCs w:val="20"/>
    </w:rPr>
  </w:style>
  <w:style w:type="paragraph" w:styleId="Footer">
    <w:name w:val="footer"/>
    <w:basedOn w:val="Normal"/>
    <w:link w:val="FooterChar"/>
    <w:uiPriority w:val="99"/>
    <w:rsid w:val="00DF5D85"/>
    <w:pPr>
      <w:tabs>
        <w:tab w:val="center" w:pos="4680"/>
        <w:tab w:val="right" w:pos="9360"/>
      </w:tabs>
      <w:spacing w:line="240" w:lineRule="auto"/>
    </w:pPr>
    <w:rPr>
      <w:color w:val="1E3C78" w:themeColor="text1"/>
    </w:rPr>
  </w:style>
  <w:style w:type="character" w:customStyle="1" w:styleId="FooterChar">
    <w:name w:val="Footer Char"/>
    <w:basedOn w:val="DefaultParagraphFont"/>
    <w:link w:val="Footer"/>
    <w:uiPriority w:val="99"/>
    <w:rsid w:val="00FE6EC6"/>
    <w:rPr>
      <w:color w:val="1E3C78" w:themeColor="text1"/>
      <w:szCs w:val="20"/>
    </w:rPr>
  </w:style>
  <w:style w:type="character" w:styleId="PageNumber">
    <w:name w:val="page number"/>
    <w:uiPriority w:val="99"/>
    <w:semiHidden/>
    <w:rsid w:val="00DF5D85"/>
    <w:rPr>
      <w:rFonts w:asciiTheme="majorHAnsi" w:hAnsiTheme="majorHAnsi"/>
      <w:b/>
      <w:color w:val="auto"/>
      <w:sz w:val="20"/>
    </w:rPr>
  </w:style>
  <w:style w:type="paragraph" w:styleId="BodyText">
    <w:name w:val="Body Text"/>
    <w:basedOn w:val="Normal"/>
    <w:link w:val="BodyTextChar"/>
    <w:qFormat/>
    <w:rsid w:val="00DE32FB"/>
  </w:style>
  <w:style w:type="character" w:customStyle="1" w:styleId="BodyTextChar">
    <w:name w:val="Body Text Char"/>
    <w:basedOn w:val="DefaultParagraphFont"/>
    <w:link w:val="BodyText"/>
    <w:rsid w:val="00DE32FB"/>
    <w:rPr>
      <w:szCs w:val="20"/>
    </w:rPr>
  </w:style>
  <w:style w:type="paragraph" w:customStyle="1" w:styleId="Heading1forLists">
    <w:name w:val="Heading 1 for Lists"/>
    <w:basedOn w:val="TOCHeading"/>
    <w:next w:val="BodyTextafterheading"/>
    <w:link w:val="Heading1forListsChar"/>
    <w:uiPriority w:val="12"/>
    <w:qFormat/>
    <w:rsid w:val="00670F82"/>
    <w:rPr>
      <w:sz w:val="36"/>
    </w:rPr>
  </w:style>
  <w:style w:type="character" w:customStyle="1" w:styleId="Heading1forListsChar">
    <w:name w:val="Heading 1 for Lists Char"/>
    <w:basedOn w:val="DefaultParagraphFont"/>
    <w:link w:val="Heading1forLists"/>
    <w:uiPriority w:val="12"/>
    <w:rsid w:val="00670F82"/>
    <w:rPr>
      <w:rFonts w:asciiTheme="majorHAnsi" w:eastAsia="Times New Roman" w:hAnsiTheme="majorHAnsi" w:cs="Times New Roman"/>
      <w:b/>
      <w:sz w:val="36"/>
      <w:szCs w:val="24"/>
    </w:rPr>
  </w:style>
  <w:style w:type="table" w:customStyle="1" w:styleId="HHSTableforTextData">
    <w:name w:val="HHS Table for Text Data"/>
    <w:basedOn w:val="TableNormal"/>
    <w:uiPriority w:val="99"/>
    <w:rsid w:val="00C956C5"/>
    <w:pPr>
      <w:spacing w:after="0" w:line="240" w:lineRule="auto"/>
    </w:pPr>
    <w:rPr>
      <w:sz w:val="20"/>
      <w:szCs w:val="20"/>
    </w:rPr>
    <w:tblPr>
      <w:tblStyleRowBandSize w:val="1"/>
      <w:tblCellMar>
        <w:top w:w="40" w:type="dxa"/>
        <w:left w:w="240" w:type="dxa"/>
        <w:bottom w:w="120" w:type="dxa"/>
        <w:right w:w="240" w:type="dxa"/>
      </w:tblCellMar>
    </w:tblPr>
    <w:trPr>
      <w:cantSplit/>
    </w:trPr>
    <w:tblStylePr w:type="firstRow">
      <w:pPr>
        <w:wordWrap/>
        <w:jc w:val="center"/>
      </w:pPr>
      <w:rPr>
        <w:b/>
      </w:rPr>
      <w:tblPr/>
      <w:trPr>
        <w:tblHeader/>
      </w:trPr>
      <w:tcPr>
        <w:shd w:val="clear" w:color="auto" w:fill="C4DDF4" w:themeFill="accent1" w:themeFillTint="66"/>
      </w:tcPr>
    </w:tblStylePr>
    <w:tblStylePr w:type="band2Horz">
      <w:tblPr/>
      <w:tcPr>
        <w:shd w:val="clear" w:color="auto" w:fill="E1EEF9" w:themeFill="accent1" w:themeFillTint="33"/>
      </w:tcPr>
    </w:tblStylePr>
  </w:style>
  <w:style w:type="character" w:customStyle="1" w:styleId="Heading4Char">
    <w:name w:val="Heading 4 Char"/>
    <w:basedOn w:val="DefaultParagraphFont"/>
    <w:link w:val="Heading4"/>
    <w:uiPriority w:val="9"/>
    <w:rsid w:val="00DE32FB"/>
    <w:rPr>
      <w:rFonts w:eastAsiaTheme="majorEastAsia" w:cstheme="majorBidi"/>
      <w:b/>
      <w:iCs/>
      <w:color w:val="1E3C78" w:themeColor="text1"/>
      <w:sz w:val="24"/>
      <w:szCs w:val="20"/>
    </w:rPr>
  </w:style>
  <w:style w:type="character" w:customStyle="1" w:styleId="Heading5Char">
    <w:name w:val="Heading 5 Char"/>
    <w:basedOn w:val="DefaultParagraphFont"/>
    <w:link w:val="Heading5"/>
    <w:uiPriority w:val="9"/>
    <w:rsid w:val="00DF5D85"/>
    <w:rPr>
      <w:rFonts w:eastAsiaTheme="majorEastAsia" w:cstheme="majorBidi"/>
      <w:b/>
      <w:i/>
      <w:iCs/>
      <w:color w:val="1E3C78" w:themeColor="text1"/>
      <w:sz w:val="20"/>
      <w:szCs w:val="20"/>
    </w:rPr>
  </w:style>
  <w:style w:type="character" w:customStyle="1" w:styleId="Heading6Char">
    <w:name w:val="Heading 6 Char"/>
    <w:basedOn w:val="DefaultParagraphFont"/>
    <w:link w:val="Heading6"/>
    <w:uiPriority w:val="9"/>
    <w:rsid w:val="00DF5D85"/>
    <w:rPr>
      <w:rFonts w:eastAsiaTheme="majorEastAsia" w:cstheme="majorBidi"/>
      <w:i/>
      <w:iCs/>
      <w:color w:val="1E3C78" w:themeColor="text1"/>
      <w:sz w:val="20"/>
      <w:szCs w:val="20"/>
    </w:rPr>
  </w:style>
  <w:style w:type="character" w:customStyle="1" w:styleId="Heading7Char">
    <w:name w:val="Heading 7 Char"/>
    <w:basedOn w:val="DefaultParagraphFont"/>
    <w:link w:val="Heading7"/>
    <w:uiPriority w:val="9"/>
    <w:semiHidden/>
    <w:rsid w:val="00DE32FB"/>
    <w:rPr>
      <w:rFonts w:cs="Arial"/>
      <w:sz w:val="20"/>
      <w:szCs w:val="28"/>
    </w:rPr>
  </w:style>
  <w:style w:type="character" w:customStyle="1" w:styleId="Heading8Char">
    <w:name w:val="Heading 8 Char"/>
    <w:basedOn w:val="DefaultParagraphFont"/>
    <w:link w:val="Heading8"/>
    <w:uiPriority w:val="9"/>
    <w:semiHidden/>
    <w:rsid w:val="00DF5D85"/>
    <w:rPr>
      <w:rFonts w:eastAsiaTheme="majorEastAsia" w:cstheme="majorBidi"/>
      <w:sz w:val="20"/>
      <w:szCs w:val="21"/>
    </w:rPr>
  </w:style>
  <w:style w:type="character" w:customStyle="1" w:styleId="Heading9Char">
    <w:name w:val="Heading 9 Char"/>
    <w:basedOn w:val="DefaultParagraphFont"/>
    <w:link w:val="Heading9"/>
    <w:uiPriority w:val="9"/>
    <w:semiHidden/>
    <w:rsid w:val="00184BFC"/>
    <w:rPr>
      <w:rFonts w:asciiTheme="majorHAnsi" w:eastAsiaTheme="majorEastAsia" w:hAnsiTheme="majorHAnsi" w:cstheme="majorBidi"/>
      <w:i/>
      <w:iCs/>
      <w:sz w:val="24"/>
      <w:szCs w:val="21"/>
    </w:rPr>
  </w:style>
  <w:style w:type="paragraph" w:customStyle="1" w:styleId="AppendixHeading">
    <w:name w:val="Appendix Heading"/>
    <w:next w:val="BodyTextafterheading"/>
    <w:uiPriority w:val="10"/>
    <w:qFormat/>
    <w:rsid w:val="00292302"/>
    <w:pPr>
      <w:numPr>
        <w:numId w:val="14"/>
      </w:numPr>
      <w:jc w:val="center"/>
      <w:outlineLvl w:val="0"/>
    </w:pPr>
    <w:rPr>
      <w:rFonts w:asciiTheme="majorHAnsi" w:eastAsiaTheme="majorEastAsia" w:hAnsiTheme="majorHAnsi" w:cstheme="majorBidi"/>
      <w:b/>
      <w:iCs/>
      <w:sz w:val="32"/>
      <w:szCs w:val="21"/>
    </w:rPr>
  </w:style>
  <w:style w:type="paragraph" w:styleId="NoSpacing">
    <w:name w:val="No Spacing"/>
    <w:basedOn w:val="BodyText"/>
    <w:link w:val="NoSpacingChar"/>
    <w:uiPriority w:val="99"/>
    <w:rsid w:val="000A7BAB"/>
    <w:pPr>
      <w:spacing w:before="0" w:line="240" w:lineRule="auto"/>
    </w:pPr>
    <w:rPr>
      <w:rFonts w:eastAsiaTheme="minorEastAsia"/>
    </w:rPr>
  </w:style>
  <w:style w:type="character" w:customStyle="1" w:styleId="NoSpacingChar">
    <w:name w:val="No Spacing Char"/>
    <w:basedOn w:val="DefaultParagraphFont"/>
    <w:link w:val="NoSpacing"/>
    <w:uiPriority w:val="99"/>
    <w:rsid w:val="000A7BAB"/>
    <w:rPr>
      <w:rFonts w:eastAsiaTheme="minorEastAsia"/>
      <w:szCs w:val="20"/>
    </w:rPr>
  </w:style>
  <w:style w:type="paragraph" w:customStyle="1" w:styleId="TableContainer">
    <w:name w:val="Table Container"/>
    <w:basedOn w:val="BodyText"/>
    <w:link w:val="TableContainerChar"/>
    <w:uiPriority w:val="99"/>
    <w:qFormat/>
    <w:rsid w:val="00612397"/>
    <w:pPr>
      <w:widowControl w:val="0"/>
    </w:pPr>
    <w:rPr>
      <w:sz w:val="20"/>
    </w:rPr>
  </w:style>
  <w:style w:type="paragraph" w:customStyle="1" w:styleId="SpaceOnly">
    <w:name w:val="Space Only"/>
    <w:basedOn w:val="BodyText"/>
    <w:next w:val="BodyText"/>
    <w:link w:val="SpaceOnlyChar"/>
    <w:uiPriority w:val="99"/>
    <w:semiHidden/>
    <w:rsid w:val="009079C1"/>
  </w:style>
  <w:style w:type="character" w:customStyle="1" w:styleId="TableContainerChar">
    <w:name w:val="Table Container Char"/>
    <w:basedOn w:val="BodyTextChar"/>
    <w:link w:val="TableContainer"/>
    <w:uiPriority w:val="99"/>
    <w:rsid w:val="004C1A20"/>
    <w:rPr>
      <w:sz w:val="20"/>
      <w:szCs w:val="20"/>
    </w:rPr>
  </w:style>
  <w:style w:type="character" w:customStyle="1" w:styleId="SpaceOnlyChar">
    <w:name w:val="Space Only Char"/>
    <w:basedOn w:val="BodyTextChar"/>
    <w:link w:val="SpaceOnly"/>
    <w:uiPriority w:val="99"/>
    <w:semiHidden/>
    <w:rsid w:val="00833F46"/>
    <w:rPr>
      <w:szCs w:val="20"/>
    </w:rPr>
  </w:style>
  <w:style w:type="paragraph" w:customStyle="1" w:styleId="Heading1-NoNumbering">
    <w:name w:val="Heading 1-No Numbering"/>
    <w:basedOn w:val="Heading1"/>
    <w:next w:val="BodyTextafterheading"/>
    <w:link w:val="Heading1-NoNumberingChar"/>
    <w:uiPriority w:val="8"/>
    <w:rsid w:val="00DE32FB"/>
    <w:pPr>
      <w:numPr>
        <w:numId w:val="0"/>
      </w:numPr>
    </w:pPr>
  </w:style>
  <w:style w:type="character" w:customStyle="1" w:styleId="Heading1-NoNumberingChar">
    <w:name w:val="Heading 1-No Numbering Char"/>
    <w:basedOn w:val="Heading1Char"/>
    <w:link w:val="Heading1-NoNumbering"/>
    <w:uiPriority w:val="8"/>
    <w:rsid w:val="00DE32FB"/>
    <w:rPr>
      <w:rFonts w:asciiTheme="majorHAnsi" w:eastAsiaTheme="majorEastAsia" w:hAnsiTheme="majorHAnsi" w:cs="Arial"/>
      <w:b/>
      <w:sz w:val="36"/>
      <w:szCs w:val="36"/>
      <w:shd w:val="clear" w:color="auto" w:fill="1E3C78" w:themeFill="text1"/>
    </w:rPr>
  </w:style>
  <w:style w:type="numbering" w:customStyle="1" w:styleId="HHSBullets">
    <w:name w:val="HHS Bullets"/>
    <w:uiPriority w:val="99"/>
    <w:rsid w:val="00D960A8"/>
    <w:pPr>
      <w:numPr>
        <w:numId w:val="1"/>
      </w:numPr>
    </w:pPr>
  </w:style>
  <w:style w:type="numbering" w:customStyle="1" w:styleId="HHSNumbering">
    <w:name w:val="HHS Numbering"/>
    <w:uiPriority w:val="99"/>
    <w:rsid w:val="00D960A8"/>
    <w:pPr>
      <w:numPr>
        <w:numId w:val="2"/>
      </w:numPr>
    </w:pPr>
  </w:style>
  <w:style w:type="paragraph" w:styleId="Revision">
    <w:name w:val="Revision"/>
    <w:hidden/>
    <w:uiPriority w:val="99"/>
    <w:semiHidden/>
    <w:rsid w:val="008F3CA8"/>
    <w:pPr>
      <w:spacing w:after="0" w:line="240" w:lineRule="auto"/>
    </w:pPr>
    <w:rPr>
      <w:szCs w:val="20"/>
    </w:rPr>
  </w:style>
  <w:style w:type="paragraph" w:styleId="ListNumber5">
    <w:name w:val="List Number 5"/>
    <w:basedOn w:val="BodyText"/>
    <w:uiPriority w:val="99"/>
    <w:semiHidden/>
    <w:unhideWhenUsed/>
    <w:rsid w:val="0096272D"/>
    <w:pPr>
      <w:numPr>
        <w:numId w:val="5"/>
      </w:numPr>
      <w:contextualSpacing/>
    </w:pPr>
  </w:style>
  <w:style w:type="paragraph" w:styleId="ListNumber4">
    <w:name w:val="List Number 4"/>
    <w:basedOn w:val="BodyText"/>
    <w:uiPriority w:val="99"/>
    <w:semiHidden/>
    <w:unhideWhenUsed/>
    <w:rsid w:val="0096272D"/>
    <w:pPr>
      <w:numPr>
        <w:numId w:val="6"/>
      </w:numPr>
      <w:contextualSpacing/>
    </w:pPr>
  </w:style>
  <w:style w:type="paragraph" w:styleId="ListNumber3">
    <w:name w:val="List Number 3"/>
    <w:basedOn w:val="BodyText"/>
    <w:uiPriority w:val="99"/>
    <w:semiHidden/>
    <w:unhideWhenUsed/>
    <w:rsid w:val="0096272D"/>
    <w:pPr>
      <w:numPr>
        <w:numId w:val="7"/>
      </w:numPr>
      <w:contextualSpacing/>
    </w:pPr>
  </w:style>
  <w:style w:type="paragraph" w:styleId="ListNumber2">
    <w:name w:val="List Number 2"/>
    <w:basedOn w:val="BodyText"/>
    <w:uiPriority w:val="99"/>
    <w:semiHidden/>
    <w:unhideWhenUsed/>
    <w:rsid w:val="0096272D"/>
    <w:pPr>
      <w:numPr>
        <w:numId w:val="8"/>
      </w:numPr>
      <w:contextualSpacing/>
    </w:pPr>
  </w:style>
  <w:style w:type="paragraph" w:styleId="ListContinue5">
    <w:name w:val="List Continue 5"/>
    <w:basedOn w:val="BodyText"/>
    <w:uiPriority w:val="99"/>
    <w:semiHidden/>
    <w:unhideWhenUsed/>
    <w:rsid w:val="0096272D"/>
    <w:pPr>
      <w:spacing w:before="120"/>
      <w:ind w:left="1800"/>
      <w:contextualSpacing/>
    </w:pPr>
  </w:style>
  <w:style w:type="paragraph" w:styleId="ListContinue4">
    <w:name w:val="List Continue 4"/>
    <w:basedOn w:val="BodyText"/>
    <w:uiPriority w:val="99"/>
    <w:semiHidden/>
    <w:unhideWhenUsed/>
    <w:rsid w:val="0096272D"/>
    <w:pPr>
      <w:spacing w:before="120"/>
      <w:ind w:left="1440"/>
      <w:contextualSpacing/>
    </w:pPr>
  </w:style>
  <w:style w:type="paragraph" w:styleId="ListContinue3">
    <w:name w:val="List Continue 3"/>
    <w:basedOn w:val="BodyText"/>
    <w:uiPriority w:val="99"/>
    <w:semiHidden/>
    <w:unhideWhenUsed/>
    <w:rsid w:val="0096272D"/>
    <w:pPr>
      <w:spacing w:before="120"/>
      <w:ind w:left="1080"/>
      <w:contextualSpacing/>
    </w:pPr>
  </w:style>
  <w:style w:type="paragraph" w:styleId="ListContinue2">
    <w:name w:val="List Continue 2"/>
    <w:basedOn w:val="BodyText"/>
    <w:uiPriority w:val="99"/>
    <w:semiHidden/>
    <w:unhideWhenUsed/>
    <w:rsid w:val="0096272D"/>
    <w:pPr>
      <w:spacing w:before="120"/>
      <w:ind w:left="720"/>
      <w:contextualSpacing/>
    </w:pPr>
  </w:style>
  <w:style w:type="paragraph" w:styleId="ListContinue">
    <w:name w:val="List Continue"/>
    <w:basedOn w:val="BodyText"/>
    <w:uiPriority w:val="99"/>
    <w:semiHidden/>
    <w:unhideWhenUsed/>
    <w:rsid w:val="0096272D"/>
    <w:pPr>
      <w:spacing w:before="120"/>
      <w:ind w:left="360"/>
      <w:contextualSpacing/>
    </w:pPr>
  </w:style>
  <w:style w:type="paragraph" w:styleId="ListBullet5">
    <w:name w:val="List Bullet 5"/>
    <w:basedOn w:val="BodyText"/>
    <w:uiPriority w:val="99"/>
    <w:semiHidden/>
    <w:unhideWhenUsed/>
    <w:rsid w:val="0096272D"/>
    <w:pPr>
      <w:numPr>
        <w:numId w:val="9"/>
      </w:numPr>
      <w:contextualSpacing/>
    </w:pPr>
  </w:style>
  <w:style w:type="paragraph" w:styleId="ListBullet4">
    <w:name w:val="List Bullet 4"/>
    <w:basedOn w:val="BodyText"/>
    <w:uiPriority w:val="99"/>
    <w:semiHidden/>
    <w:unhideWhenUsed/>
    <w:rsid w:val="0096272D"/>
    <w:pPr>
      <w:numPr>
        <w:numId w:val="10"/>
      </w:numPr>
      <w:contextualSpacing/>
    </w:pPr>
  </w:style>
  <w:style w:type="paragraph" w:styleId="ListBullet3">
    <w:name w:val="List Bullet 3"/>
    <w:basedOn w:val="BodyText"/>
    <w:uiPriority w:val="99"/>
    <w:semiHidden/>
    <w:unhideWhenUsed/>
    <w:rsid w:val="0096272D"/>
    <w:pPr>
      <w:numPr>
        <w:numId w:val="11"/>
      </w:numPr>
      <w:contextualSpacing/>
    </w:pPr>
  </w:style>
  <w:style w:type="paragraph" w:styleId="ListBullet2">
    <w:name w:val="List Bullet 2"/>
    <w:basedOn w:val="BodyText"/>
    <w:uiPriority w:val="99"/>
    <w:semiHidden/>
    <w:unhideWhenUsed/>
    <w:rsid w:val="0096272D"/>
    <w:pPr>
      <w:numPr>
        <w:numId w:val="12"/>
      </w:numPr>
      <w:contextualSpacing/>
    </w:pPr>
  </w:style>
  <w:style w:type="paragraph" w:styleId="List5">
    <w:name w:val="List 5"/>
    <w:basedOn w:val="BodyText"/>
    <w:uiPriority w:val="99"/>
    <w:semiHidden/>
    <w:unhideWhenUsed/>
    <w:rsid w:val="0096272D"/>
    <w:pPr>
      <w:ind w:left="1800" w:hanging="360"/>
      <w:contextualSpacing/>
    </w:pPr>
  </w:style>
  <w:style w:type="paragraph" w:styleId="List4">
    <w:name w:val="List 4"/>
    <w:basedOn w:val="BodyText"/>
    <w:uiPriority w:val="99"/>
    <w:semiHidden/>
    <w:unhideWhenUsed/>
    <w:rsid w:val="0096272D"/>
    <w:pPr>
      <w:ind w:left="1440" w:hanging="360"/>
      <w:contextualSpacing/>
    </w:pPr>
  </w:style>
  <w:style w:type="paragraph" w:styleId="List3">
    <w:name w:val="List 3"/>
    <w:basedOn w:val="BodyText"/>
    <w:uiPriority w:val="99"/>
    <w:semiHidden/>
    <w:unhideWhenUsed/>
    <w:rsid w:val="0096272D"/>
    <w:pPr>
      <w:ind w:left="1080" w:hanging="360"/>
      <w:contextualSpacing/>
    </w:pPr>
  </w:style>
  <w:style w:type="paragraph" w:styleId="List2">
    <w:name w:val="List 2"/>
    <w:basedOn w:val="BodyText"/>
    <w:uiPriority w:val="99"/>
    <w:semiHidden/>
    <w:unhideWhenUsed/>
    <w:rsid w:val="0096272D"/>
    <w:pPr>
      <w:ind w:left="720" w:hanging="360"/>
      <w:contextualSpacing/>
    </w:pPr>
  </w:style>
  <w:style w:type="paragraph" w:styleId="List">
    <w:name w:val="List"/>
    <w:basedOn w:val="BodyText"/>
    <w:uiPriority w:val="99"/>
    <w:semiHidden/>
    <w:unhideWhenUsed/>
    <w:rsid w:val="0096272D"/>
    <w:pPr>
      <w:ind w:left="360" w:hanging="360"/>
      <w:contextualSpacing/>
    </w:pPr>
  </w:style>
  <w:style w:type="character" w:styleId="LineNumber">
    <w:name w:val="line number"/>
    <w:uiPriority w:val="99"/>
    <w:semiHidden/>
    <w:unhideWhenUsed/>
    <w:rsid w:val="0096272D"/>
  </w:style>
  <w:style w:type="character" w:styleId="IntenseReference">
    <w:name w:val="Intense Reference"/>
    <w:uiPriority w:val="99"/>
    <w:semiHidden/>
    <w:qFormat/>
    <w:rsid w:val="0096272D"/>
    <w:rPr>
      <w:b/>
      <w:bCs/>
      <w:smallCaps/>
      <w:color w:val="6DABE4" w:themeColor="accent1"/>
      <w:spacing w:val="5"/>
    </w:rPr>
  </w:style>
  <w:style w:type="paragraph" w:styleId="IntenseQuote">
    <w:name w:val="Intense Quote"/>
    <w:basedOn w:val="Quote"/>
    <w:next w:val="BodyText"/>
    <w:link w:val="IntenseQuoteChar"/>
    <w:uiPriority w:val="99"/>
    <w:semiHidden/>
    <w:qFormat/>
    <w:rsid w:val="0096272D"/>
    <w:pPr>
      <w:pBdr>
        <w:top w:val="single" w:sz="4" w:space="10" w:color="6DABE4" w:themeColor="accent1"/>
        <w:bottom w:val="single" w:sz="4" w:space="10" w:color="6DABE4" w:themeColor="accent1"/>
      </w:pBdr>
    </w:pPr>
    <w:rPr>
      <w:i/>
      <w:iCs w:val="0"/>
      <w:color w:val="6DABE4" w:themeColor="accent1"/>
    </w:rPr>
  </w:style>
  <w:style w:type="character" w:customStyle="1" w:styleId="IntenseQuoteChar">
    <w:name w:val="Intense Quote Char"/>
    <w:basedOn w:val="DefaultParagraphFont"/>
    <w:link w:val="IntenseQuote"/>
    <w:uiPriority w:val="99"/>
    <w:semiHidden/>
    <w:rsid w:val="0096272D"/>
    <w:rPr>
      <w:color w:val="6DABE4" w:themeColor="accent1"/>
      <w:szCs w:val="20"/>
    </w:rPr>
  </w:style>
  <w:style w:type="paragraph" w:styleId="Quote">
    <w:name w:val="Quote"/>
    <w:basedOn w:val="BodyText"/>
    <w:next w:val="BodyText"/>
    <w:link w:val="QuoteChar"/>
    <w:uiPriority w:val="29"/>
    <w:semiHidden/>
    <w:unhideWhenUsed/>
    <w:rsid w:val="00670F82"/>
    <w:pPr>
      <w:pBdr>
        <w:left w:val="single" w:sz="18" w:space="12" w:color="527DD3" w:themeColor="text1" w:themeTint="99"/>
      </w:pBdr>
      <w:spacing w:before="360" w:after="360"/>
      <w:ind w:left="864" w:right="864"/>
      <w:contextualSpacing/>
    </w:pPr>
    <w:rPr>
      <w:iCs/>
      <w:color w:val="3060C0" w:themeColor="text1" w:themeTint="BF"/>
    </w:rPr>
  </w:style>
  <w:style w:type="character" w:customStyle="1" w:styleId="QuoteChar">
    <w:name w:val="Quote Char"/>
    <w:basedOn w:val="DefaultParagraphFont"/>
    <w:link w:val="Quote"/>
    <w:uiPriority w:val="29"/>
    <w:semiHidden/>
    <w:rsid w:val="00670F82"/>
    <w:rPr>
      <w:iCs/>
      <w:color w:val="3060C0" w:themeColor="text1" w:themeTint="BF"/>
      <w:szCs w:val="20"/>
    </w:rPr>
  </w:style>
  <w:style w:type="character" w:styleId="IntenseEmphasis">
    <w:name w:val="Intense Emphasis"/>
    <w:uiPriority w:val="99"/>
    <w:semiHidden/>
    <w:qFormat/>
    <w:rsid w:val="0096272D"/>
    <w:rPr>
      <w:i/>
      <w:iCs/>
      <w:color w:val="6DABE4" w:themeColor="accent1"/>
    </w:rPr>
  </w:style>
  <w:style w:type="paragraph" w:styleId="Index1">
    <w:name w:val="index 1"/>
    <w:basedOn w:val="BodyText"/>
    <w:uiPriority w:val="99"/>
    <w:semiHidden/>
    <w:unhideWhenUsed/>
    <w:rsid w:val="0096272D"/>
    <w:pPr>
      <w:ind w:left="220" w:hanging="220"/>
    </w:pPr>
  </w:style>
  <w:style w:type="paragraph" w:styleId="IndexHeading">
    <w:name w:val="index heading"/>
    <w:basedOn w:val="BodyText"/>
    <w:next w:val="Index1"/>
    <w:uiPriority w:val="99"/>
    <w:semiHidden/>
    <w:unhideWhenUsed/>
    <w:rsid w:val="0096272D"/>
    <w:rPr>
      <w:rFonts w:asciiTheme="majorHAnsi" w:eastAsiaTheme="majorEastAsia" w:hAnsiTheme="majorHAnsi" w:cstheme="majorBidi"/>
      <w:b/>
      <w:bCs/>
    </w:rPr>
  </w:style>
  <w:style w:type="paragraph" w:styleId="Index9">
    <w:name w:val="index 9"/>
    <w:basedOn w:val="BodyText"/>
    <w:uiPriority w:val="99"/>
    <w:semiHidden/>
    <w:unhideWhenUsed/>
    <w:rsid w:val="0096272D"/>
    <w:pPr>
      <w:ind w:left="1980" w:hanging="220"/>
    </w:pPr>
  </w:style>
  <w:style w:type="paragraph" w:styleId="Index8">
    <w:name w:val="index 8"/>
    <w:basedOn w:val="BodyText"/>
    <w:uiPriority w:val="99"/>
    <w:semiHidden/>
    <w:unhideWhenUsed/>
    <w:rsid w:val="0096272D"/>
    <w:pPr>
      <w:ind w:left="1760" w:hanging="220"/>
    </w:pPr>
  </w:style>
  <w:style w:type="paragraph" w:styleId="Index7">
    <w:name w:val="index 7"/>
    <w:basedOn w:val="BodyText"/>
    <w:uiPriority w:val="99"/>
    <w:semiHidden/>
    <w:unhideWhenUsed/>
    <w:rsid w:val="0096272D"/>
    <w:pPr>
      <w:spacing w:line="240" w:lineRule="auto"/>
      <w:ind w:left="1540" w:hanging="220"/>
    </w:pPr>
  </w:style>
  <w:style w:type="paragraph" w:styleId="Index6">
    <w:name w:val="index 6"/>
    <w:basedOn w:val="BodyText"/>
    <w:uiPriority w:val="99"/>
    <w:semiHidden/>
    <w:unhideWhenUsed/>
    <w:rsid w:val="0096272D"/>
    <w:pPr>
      <w:ind w:left="1320" w:hanging="220"/>
    </w:pPr>
  </w:style>
  <w:style w:type="paragraph" w:styleId="Index5">
    <w:name w:val="index 5"/>
    <w:basedOn w:val="BodyText"/>
    <w:uiPriority w:val="99"/>
    <w:semiHidden/>
    <w:unhideWhenUsed/>
    <w:rsid w:val="0096272D"/>
    <w:pPr>
      <w:ind w:left="1100" w:hanging="220"/>
    </w:pPr>
  </w:style>
  <w:style w:type="paragraph" w:styleId="Index4">
    <w:name w:val="index 4"/>
    <w:basedOn w:val="BodyText"/>
    <w:uiPriority w:val="99"/>
    <w:semiHidden/>
    <w:unhideWhenUsed/>
    <w:rsid w:val="0096272D"/>
    <w:pPr>
      <w:ind w:left="880" w:hanging="220"/>
    </w:pPr>
  </w:style>
  <w:style w:type="paragraph" w:styleId="Index3">
    <w:name w:val="index 3"/>
    <w:basedOn w:val="BodyText"/>
    <w:uiPriority w:val="99"/>
    <w:semiHidden/>
    <w:unhideWhenUsed/>
    <w:rsid w:val="0096272D"/>
    <w:pPr>
      <w:ind w:left="660" w:hanging="220"/>
    </w:pPr>
  </w:style>
  <w:style w:type="paragraph" w:styleId="Index2">
    <w:name w:val="index 2"/>
    <w:basedOn w:val="BodyText"/>
    <w:uiPriority w:val="99"/>
    <w:semiHidden/>
    <w:unhideWhenUsed/>
    <w:rsid w:val="0096272D"/>
    <w:pPr>
      <w:ind w:left="440" w:hanging="220"/>
    </w:pPr>
  </w:style>
  <w:style w:type="character" w:styleId="SubtleReference">
    <w:name w:val="Subtle Reference"/>
    <w:uiPriority w:val="99"/>
    <w:semiHidden/>
    <w:rsid w:val="000A7BAB"/>
    <w:rPr>
      <w:smallCaps/>
      <w:color w:val="4473D0" w:themeColor="text1" w:themeTint="A5"/>
    </w:rPr>
  </w:style>
  <w:style w:type="character" w:styleId="SubtleEmphasis">
    <w:name w:val="Subtle Emphasis"/>
    <w:uiPriority w:val="99"/>
    <w:semiHidden/>
    <w:rsid w:val="000A7BAB"/>
    <w:rPr>
      <w:i/>
      <w:iCs/>
      <w:color w:val="3060C0" w:themeColor="text1" w:themeTint="BF"/>
    </w:rPr>
  </w:style>
  <w:style w:type="paragraph" w:styleId="Signature">
    <w:name w:val="Signature"/>
    <w:basedOn w:val="BodyText"/>
    <w:link w:val="SignatureChar"/>
    <w:uiPriority w:val="99"/>
    <w:semiHidden/>
    <w:unhideWhenUsed/>
    <w:rsid w:val="000A7BAB"/>
    <w:pPr>
      <w:spacing w:before="600" w:line="240" w:lineRule="auto"/>
      <w:ind w:left="4320"/>
    </w:pPr>
  </w:style>
  <w:style w:type="character" w:customStyle="1" w:styleId="SignatureChar">
    <w:name w:val="Signature Char"/>
    <w:basedOn w:val="DefaultParagraphFont"/>
    <w:link w:val="Signature"/>
    <w:uiPriority w:val="99"/>
    <w:semiHidden/>
    <w:rsid w:val="000A7BAB"/>
    <w:rPr>
      <w:szCs w:val="20"/>
    </w:rPr>
  </w:style>
  <w:style w:type="paragraph" w:styleId="Salutation">
    <w:name w:val="Salutation"/>
    <w:basedOn w:val="BodyText"/>
    <w:next w:val="BodyText"/>
    <w:link w:val="SalutationChar"/>
    <w:uiPriority w:val="99"/>
    <w:semiHidden/>
    <w:unhideWhenUsed/>
    <w:rsid w:val="000A7BAB"/>
  </w:style>
  <w:style w:type="character" w:customStyle="1" w:styleId="SalutationChar">
    <w:name w:val="Salutation Char"/>
    <w:basedOn w:val="DefaultParagraphFont"/>
    <w:link w:val="Salutation"/>
    <w:uiPriority w:val="99"/>
    <w:semiHidden/>
    <w:rsid w:val="000A7BAB"/>
    <w:rPr>
      <w:szCs w:val="20"/>
    </w:rPr>
  </w:style>
  <w:style w:type="paragraph" w:styleId="NoteHeading">
    <w:name w:val="Note Heading"/>
    <w:basedOn w:val="BodyText"/>
    <w:next w:val="BodyText"/>
    <w:link w:val="NoteHeadingChar"/>
    <w:uiPriority w:val="99"/>
    <w:semiHidden/>
    <w:unhideWhenUsed/>
    <w:rsid w:val="000A7BAB"/>
    <w:rPr>
      <w:b/>
    </w:rPr>
  </w:style>
  <w:style w:type="character" w:customStyle="1" w:styleId="NoteHeadingChar">
    <w:name w:val="Note Heading Char"/>
    <w:basedOn w:val="DefaultParagraphFont"/>
    <w:link w:val="NoteHeading"/>
    <w:uiPriority w:val="99"/>
    <w:semiHidden/>
    <w:rsid w:val="000A7BAB"/>
    <w:rPr>
      <w:b/>
      <w:szCs w:val="20"/>
    </w:rPr>
  </w:style>
  <w:style w:type="paragraph" w:styleId="NormalIndent">
    <w:name w:val="Normal Indent"/>
    <w:basedOn w:val="Normal"/>
    <w:uiPriority w:val="99"/>
    <w:semiHidden/>
    <w:unhideWhenUsed/>
    <w:rsid w:val="000A7BAB"/>
    <w:pPr>
      <w:ind w:left="720"/>
    </w:pPr>
  </w:style>
  <w:style w:type="paragraph" w:styleId="NormalWeb">
    <w:name w:val="Normal (Web)"/>
    <w:basedOn w:val="Normal"/>
    <w:uiPriority w:val="99"/>
    <w:semiHidden/>
    <w:unhideWhenUsed/>
    <w:rsid w:val="000A7BAB"/>
    <w:rPr>
      <w:rFonts w:cs="Times New Roman"/>
      <w:sz w:val="24"/>
      <w:szCs w:val="24"/>
    </w:rPr>
  </w:style>
  <w:style w:type="paragraph" w:styleId="MessageHeader">
    <w:name w:val="Message Header"/>
    <w:basedOn w:val="BodyText"/>
    <w:link w:val="MessageHeaderChar"/>
    <w:uiPriority w:val="99"/>
    <w:semiHidden/>
    <w:unhideWhenUsed/>
    <w:rsid w:val="000A7BAB"/>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A7BAB"/>
    <w:rPr>
      <w:rFonts w:asciiTheme="majorHAnsi" w:eastAsiaTheme="majorEastAsia" w:hAnsiTheme="majorHAnsi" w:cstheme="majorBidi"/>
      <w:sz w:val="24"/>
      <w:szCs w:val="24"/>
      <w:shd w:val="pct20" w:color="auto" w:fill="auto"/>
    </w:rPr>
  </w:style>
  <w:style w:type="paragraph" w:styleId="MacroText">
    <w:name w:val="macro"/>
    <w:link w:val="MacroTextChar"/>
    <w:uiPriority w:val="99"/>
    <w:semiHidden/>
    <w:unhideWhenUsed/>
    <w:rsid w:val="000A7BAB"/>
    <w:pPr>
      <w:tabs>
        <w:tab w:val="left" w:pos="480"/>
        <w:tab w:val="left" w:pos="960"/>
        <w:tab w:val="left" w:pos="1440"/>
        <w:tab w:val="left" w:pos="1920"/>
        <w:tab w:val="left" w:pos="2400"/>
        <w:tab w:val="left" w:pos="2880"/>
        <w:tab w:val="left" w:pos="3360"/>
        <w:tab w:val="left" w:pos="3840"/>
        <w:tab w:val="left" w:pos="4320"/>
      </w:tabs>
      <w:spacing w:before="240" w:after="0"/>
    </w:pPr>
    <w:rPr>
      <w:rFonts w:ascii="Consolas" w:hAnsi="Consolas" w:cs="Consolas"/>
      <w:sz w:val="20"/>
      <w:szCs w:val="20"/>
    </w:rPr>
  </w:style>
  <w:style w:type="character" w:customStyle="1" w:styleId="MacroTextChar">
    <w:name w:val="Macro Text Char"/>
    <w:basedOn w:val="DefaultParagraphFont"/>
    <w:link w:val="MacroText"/>
    <w:uiPriority w:val="99"/>
    <w:semiHidden/>
    <w:rsid w:val="000A7BAB"/>
    <w:rPr>
      <w:rFonts w:ascii="Consolas" w:hAnsi="Consolas" w:cs="Consolas"/>
      <w:sz w:val="20"/>
      <w:szCs w:val="20"/>
    </w:rPr>
  </w:style>
  <w:style w:type="paragraph" w:styleId="TOC4">
    <w:name w:val="toc 4"/>
    <w:basedOn w:val="TOC3"/>
    <w:autoRedefine/>
    <w:uiPriority w:val="39"/>
    <w:semiHidden/>
    <w:unhideWhenUsed/>
    <w:rsid w:val="00670F82"/>
    <w:pPr>
      <w:ind w:left="1440"/>
    </w:pPr>
  </w:style>
  <w:style w:type="paragraph" w:styleId="TOC5">
    <w:name w:val="toc 5"/>
    <w:basedOn w:val="TOC4"/>
    <w:autoRedefine/>
    <w:uiPriority w:val="39"/>
    <w:semiHidden/>
    <w:unhideWhenUsed/>
    <w:rsid w:val="00670F82"/>
    <w:pPr>
      <w:ind w:left="1800"/>
    </w:pPr>
  </w:style>
  <w:style w:type="paragraph" w:styleId="TOC6">
    <w:name w:val="toc 6"/>
    <w:basedOn w:val="TOC5"/>
    <w:autoRedefine/>
    <w:uiPriority w:val="39"/>
    <w:semiHidden/>
    <w:unhideWhenUsed/>
    <w:rsid w:val="00670F82"/>
    <w:pPr>
      <w:ind w:left="2160"/>
    </w:pPr>
  </w:style>
  <w:style w:type="paragraph" w:styleId="TOC7">
    <w:name w:val="toc 7"/>
    <w:basedOn w:val="TOC6"/>
    <w:autoRedefine/>
    <w:uiPriority w:val="39"/>
    <w:semiHidden/>
    <w:unhideWhenUsed/>
    <w:rsid w:val="00670F82"/>
    <w:pPr>
      <w:ind w:left="2520"/>
    </w:pPr>
  </w:style>
  <w:style w:type="paragraph" w:styleId="TOC8">
    <w:name w:val="toc 8"/>
    <w:basedOn w:val="TOC7"/>
    <w:autoRedefine/>
    <w:uiPriority w:val="39"/>
    <w:semiHidden/>
    <w:unhideWhenUsed/>
    <w:rsid w:val="00670F82"/>
    <w:pPr>
      <w:ind w:left="2880"/>
    </w:pPr>
  </w:style>
  <w:style w:type="paragraph" w:styleId="TOC9">
    <w:name w:val="toc 9"/>
    <w:basedOn w:val="TOC8"/>
    <w:autoRedefine/>
    <w:uiPriority w:val="39"/>
    <w:semiHidden/>
    <w:unhideWhenUsed/>
    <w:rsid w:val="00670F82"/>
    <w:pPr>
      <w:ind w:left="3240"/>
    </w:pPr>
  </w:style>
  <w:style w:type="paragraph" w:styleId="Bibliography">
    <w:name w:val="Bibliography"/>
    <w:basedOn w:val="List"/>
    <w:uiPriority w:val="37"/>
    <w:semiHidden/>
    <w:unhideWhenUsed/>
    <w:rsid w:val="00670F82"/>
  </w:style>
  <w:style w:type="character" w:styleId="BookTitle">
    <w:name w:val="Book Title"/>
    <w:uiPriority w:val="33"/>
    <w:semiHidden/>
    <w:unhideWhenUsed/>
    <w:rsid w:val="00670F82"/>
    <w:rPr>
      <w:b w:val="0"/>
      <w:bCs/>
      <w:i w:val="0"/>
      <w:iCs/>
      <w:caps w:val="0"/>
      <w:smallCaps/>
      <w:spacing w:val="5"/>
    </w:rPr>
  </w:style>
  <w:style w:type="table" w:customStyle="1" w:styleId="TableGridLight1">
    <w:name w:val="Table Grid Light1"/>
    <w:basedOn w:val="TableNormal"/>
    <w:uiPriority w:val="40"/>
    <w:rsid w:val="0060686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Appendixes">
    <w:name w:val="Appendixes"/>
    <w:uiPriority w:val="99"/>
    <w:rsid w:val="00292302"/>
    <w:pPr>
      <w:numPr>
        <w:numId w:val="13"/>
      </w:numPr>
    </w:pPr>
  </w:style>
  <w:style w:type="numbering" w:customStyle="1" w:styleId="HHSHeadingNumbering">
    <w:name w:val="HHS Heading Numbering"/>
    <w:uiPriority w:val="99"/>
    <w:rsid w:val="00C5571B"/>
    <w:pPr>
      <w:numPr>
        <w:numId w:val="15"/>
      </w:numPr>
    </w:pPr>
  </w:style>
  <w:style w:type="paragraph" w:customStyle="1" w:styleId="BodyTextafterheading">
    <w:name w:val="Body Text after heading"/>
    <w:basedOn w:val="BodyText"/>
    <w:next w:val="BodyText"/>
    <w:link w:val="BodyTextafterheadingChar"/>
    <w:semiHidden/>
    <w:qFormat/>
    <w:rsid w:val="006F51A3"/>
    <w:pPr>
      <w:spacing w:before="120"/>
    </w:pPr>
  </w:style>
  <w:style w:type="character" w:customStyle="1" w:styleId="BodyTextafterheadingChar">
    <w:name w:val="Body Text after heading Char"/>
    <w:basedOn w:val="BodyTextChar"/>
    <w:link w:val="BodyTextafterheading"/>
    <w:semiHidden/>
    <w:rsid w:val="00E732C6"/>
    <w:rPr>
      <w:szCs w:val="20"/>
    </w:rPr>
  </w:style>
  <w:style w:type="table" w:styleId="PlainTable5">
    <w:name w:val="Plain Table 5"/>
    <w:basedOn w:val="TableNormal"/>
    <w:uiPriority w:val="45"/>
    <w:rsid w:val="00166EE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E92DA"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E92DA"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E92DA"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E92DA"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E72A49"/>
    <w:pPr>
      <w:spacing w:after="0" w:line="240" w:lineRule="auto"/>
    </w:pPr>
    <w:tblPr>
      <w:tblStyleRowBandSize w:val="1"/>
      <w:tblStyleColBandSize w:val="1"/>
    </w:tblPr>
    <w:tblStylePr w:type="firstRow">
      <w:rPr>
        <w:b/>
        <w:bCs/>
        <w:caps/>
      </w:rPr>
      <w:tblPr/>
      <w:tcPr>
        <w:tcBorders>
          <w:bottom w:val="single" w:sz="4" w:space="0" w:color="6E92DA"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E92DA"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A2E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rmaltextrun">
    <w:name w:val="normaltextrun"/>
    <w:basedOn w:val="DefaultParagraphFont"/>
    <w:rsid w:val="00CA1748"/>
  </w:style>
  <w:style w:type="character" w:customStyle="1" w:styleId="eop">
    <w:name w:val="eop"/>
    <w:basedOn w:val="DefaultParagraphFont"/>
    <w:rsid w:val="00CA1748"/>
  </w:style>
  <w:style w:type="character" w:customStyle="1" w:styleId="spellingerror">
    <w:name w:val="spellingerror"/>
    <w:basedOn w:val="DefaultParagraphFont"/>
    <w:rsid w:val="00CA1748"/>
  </w:style>
  <w:style w:type="paragraph" w:customStyle="1" w:styleId="paragraph">
    <w:name w:val="paragraph"/>
    <w:basedOn w:val="Normal"/>
    <w:rsid w:val="00B879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A87C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374153">
      <w:bodyDiv w:val="1"/>
      <w:marLeft w:val="0"/>
      <w:marRight w:val="0"/>
      <w:marTop w:val="0"/>
      <w:marBottom w:val="0"/>
      <w:divBdr>
        <w:top w:val="none" w:sz="0" w:space="0" w:color="auto"/>
        <w:left w:val="none" w:sz="0" w:space="0" w:color="auto"/>
        <w:bottom w:val="none" w:sz="0" w:space="0" w:color="auto"/>
        <w:right w:val="none" w:sz="0" w:space="0" w:color="auto"/>
      </w:divBdr>
    </w:div>
    <w:div w:id="116991306">
      <w:bodyDiv w:val="1"/>
      <w:marLeft w:val="0"/>
      <w:marRight w:val="0"/>
      <w:marTop w:val="0"/>
      <w:marBottom w:val="0"/>
      <w:divBdr>
        <w:top w:val="none" w:sz="0" w:space="0" w:color="auto"/>
        <w:left w:val="none" w:sz="0" w:space="0" w:color="auto"/>
        <w:bottom w:val="none" w:sz="0" w:space="0" w:color="auto"/>
        <w:right w:val="none" w:sz="0" w:space="0" w:color="auto"/>
      </w:divBdr>
    </w:div>
    <w:div w:id="222302154">
      <w:bodyDiv w:val="1"/>
      <w:marLeft w:val="0"/>
      <w:marRight w:val="0"/>
      <w:marTop w:val="0"/>
      <w:marBottom w:val="0"/>
      <w:divBdr>
        <w:top w:val="none" w:sz="0" w:space="0" w:color="auto"/>
        <w:left w:val="none" w:sz="0" w:space="0" w:color="auto"/>
        <w:bottom w:val="none" w:sz="0" w:space="0" w:color="auto"/>
        <w:right w:val="none" w:sz="0" w:space="0" w:color="auto"/>
      </w:divBdr>
      <w:divsChild>
        <w:div w:id="1005741977">
          <w:marLeft w:val="0"/>
          <w:marRight w:val="0"/>
          <w:marTop w:val="0"/>
          <w:marBottom w:val="0"/>
          <w:divBdr>
            <w:top w:val="none" w:sz="0" w:space="0" w:color="auto"/>
            <w:left w:val="none" w:sz="0" w:space="0" w:color="auto"/>
            <w:bottom w:val="none" w:sz="0" w:space="0" w:color="auto"/>
            <w:right w:val="none" w:sz="0" w:space="0" w:color="auto"/>
          </w:divBdr>
        </w:div>
        <w:div w:id="1841970511">
          <w:marLeft w:val="0"/>
          <w:marRight w:val="0"/>
          <w:marTop w:val="0"/>
          <w:marBottom w:val="0"/>
          <w:divBdr>
            <w:top w:val="none" w:sz="0" w:space="0" w:color="auto"/>
            <w:left w:val="none" w:sz="0" w:space="0" w:color="auto"/>
            <w:bottom w:val="none" w:sz="0" w:space="0" w:color="auto"/>
            <w:right w:val="none" w:sz="0" w:space="0" w:color="auto"/>
          </w:divBdr>
        </w:div>
      </w:divsChild>
    </w:div>
    <w:div w:id="341518389">
      <w:bodyDiv w:val="1"/>
      <w:marLeft w:val="0"/>
      <w:marRight w:val="0"/>
      <w:marTop w:val="0"/>
      <w:marBottom w:val="0"/>
      <w:divBdr>
        <w:top w:val="none" w:sz="0" w:space="0" w:color="auto"/>
        <w:left w:val="none" w:sz="0" w:space="0" w:color="auto"/>
        <w:bottom w:val="none" w:sz="0" w:space="0" w:color="auto"/>
        <w:right w:val="none" w:sz="0" w:space="0" w:color="auto"/>
      </w:divBdr>
    </w:div>
    <w:div w:id="423499819">
      <w:bodyDiv w:val="1"/>
      <w:marLeft w:val="0"/>
      <w:marRight w:val="0"/>
      <w:marTop w:val="0"/>
      <w:marBottom w:val="0"/>
      <w:divBdr>
        <w:top w:val="none" w:sz="0" w:space="0" w:color="auto"/>
        <w:left w:val="none" w:sz="0" w:space="0" w:color="auto"/>
        <w:bottom w:val="none" w:sz="0" w:space="0" w:color="auto"/>
        <w:right w:val="none" w:sz="0" w:space="0" w:color="auto"/>
      </w:divBdr>
      <w:divsChild>
        <w:div w:id="1194153857">
          <w:marLeft w:val="0"/>
          <w:marRight w:val="0"/>
          <w:marTop w:val="0"/>
          <w:marBottom w:val="0"/>
          <w:divBdr>
            <w:top w:val="single" w:sz="36" w:space="0" w:color="075290"/>
            <w:left w:val="none" w:sz="0" w:space="0" w:color="auto"/>
            <w:bottom w:val="none" w:sz="0" w:space="0" w:color="auto"/>
            <w:right w:val="none" w:sz="0" w:space="0" w:color="auto"/>
          </w:divBdr>
          <w:divsChild>
            <w:div w:id="2024434477">
              <w:marLeft w:val="0"/>
              <w:marRight w:val="0"/>
              <w:marTop w:val="0"/>
              <w:marBottom w:val="0"/>
              <w:divBdr>
                <w:top w:val="none" w:sz="0" w:space="0" w:color="auto"/>
                <w:left w:val="none" w:sz="0" w:space="0" w:color="auto"/>
                <w:bottom w:val="none" w:sz="0" w:space="0" w:color="auto"/>
                <w:right w:val="none" w:sz="0" w:space="0" w:color="auto"/>
              </w:divBdr>
              <w:divsChild>
                <w:div w:id="255677526">
                  <w:marLeft w:val="0"/>
                  <w:marRight w:val="0"/>
                  <w:marTop w:val="150"/>
                  <w:marBottom w:val="0"/>
                  <w:divBdr>
                    <w:top w:val="none" w:sz="0" w:space="0" w:color="auto"/>
                    <w:left w:val="none" w:sz="0" w:space="0" w:color="auto"/>
                    <w:bottom w:val="none" w:sz="0" w:space="0" w:color="auto"/>
                    <w:right w:val="none" w:sz="0" w:space="0" w:color="auto"/>
                  </w:divBdr>
                  <w:divsChild>
                    <w:div w:id="449402776">
                      <w:marLeft w:val="-150"/>
                      <w:marRight w:val="0"/>
                      <w:marTop w:val="0"/>
                      <w:marBottom w:val="0"/>
                      <w:divBdr>
                        <w:top w:val="none" w:sz="0" w:space="0" w:color="auto"/>
                        <w:left w:val="none" w:sz="0" w:space="0" w:color="auto"/>
                        <w:bottom w:val="none" w:sz="0" w:space="0" w:color="auto"/>
                        <w:right w:val="none" w:sz="0" w:space="0" w:color="auto"/>
                      </w:divBdr>
                      <w:divsChild>
                        <w:div w:id="1263879420">
                          <w:marLeft w:val="0"/>
                          <w:marRight w:val="0"/>
                          <w:marTop w:val="0"/>
                          <w:marBottom w:val="0"/>
                          <w:divBdr>
                            <w:top w:val="none" w:sz="0" w:space="0" w:color="auto"/>
                            <w:left w:val="none" w:sz="0" w:space="0" w:color="auto"/>
                            <w:bottom w:val="none" w:sz="0" w:space="0" w:color="auto"/>
                            <w:right w:val="none" w:sz="0" w:space="0" w:color="auto"/>
                          </w:divBdr>
                          <w:divsChild>
                            <w:div w:id="1751269532">
                              <w:marLeft w:val="0"/>
                              <w:marRight w:val="0"/>
                              <w:marTop w:val="0"/>
                              <w:marBottom w:val="0"/>
                              <w:divBdr>
                                <w:top w:val="none" w:sz="0" w:space="0" w:color="auto"/>
                                <w:left w:val="none" w:sz="0" w:space="0" w:color="auto"/>
                                <w:bottom w:val="none" w:sz="0" w:space="0" w:color="auto"/>
                                <w:right w:val="none" w:sz="0" w:space="0" w:color="auto"/>
                              </w:divBdr>
                              <w:divsChild>
                                <w:div w:id="8157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006064">
      <w:bodyDiv w:val="1"/>
      <w:marLeft w:val="0"/>
      <w:marRight w:val="0"/>
      <w:marTop w:val="0"/>
      <w:marBottom w:val="0"/>
      <w:divBdr>
        <w:top w:val="none" w:sz="0" w:space="0" w:color="auto"/>
        <w:left w:val="none" w:sz="0" w:space="0" w:color="auto"/>
        <w:bottom w:val="none" w:sz="0" w:space="0" w:color="auto"/>
        <w:right w:val="none" w:sz="0" w:space="0" w:color="auto"/>
      </w:divBdr>
    </w:div>
    <w:div w:id="1261253746">
      <w:bodyDiv w:val="1"/>
      <w:marLeft w:val="0"/>
      <w:marRight w:val="0"/>
      <w:marTop w:val="0"/>
      <w:marBottom w:val="0"/>
      <w:divBdr>
        <w:top w:val="none" w:sz="0" w:space="0" w:color="auto"/>
        <w:left w:val="none" w:sz="0" w:space="0" w:color="auto"/>
        <w:bottom w:val="none" w:sz="0" w:space="0" w:color="auto"/>
        <w:right w:val="none" w:sz="0" w:space="0" w:color="auto"/>
      </w:divBdr>
      <w:divsChild>
        <w:div w:id="4209010">
          <w:marLeft w:val="0"/>
          <w:marRight w:val="0"/>
          <w:marTop w:val="0"/>
          <w:marBottom w:val="0"/>
          <w:divBdr>
            <w:top w:val="none" w:sz="0" w:space="0" w:color="auto"/>
            <w:left w:val="none" w:sz="0" w:space="0" w:color="auto"/>
            <w:bottom w:val="none" w:sz="0" w:space="0" w:color="auto"/>
            <w:right w:val="none" w:sz="0" w:space="0" w:color="auto"/>
          </w:divBdr>
          <w:divsChild>
            <w:div w:id="1262303710">
              <w:marLeft w:val="0"/>
              <w:marRight w:val="0"/>
              <w:marTop w:val="0"/>
              <w:marBottom w:val="0"/>
              <w:divBdr>
                <w:top w:val="none" w:sz="0" w:space="0" w:color="auto"/>
                <w:left w:val="none" w:sz="0" w:space="0" w:color="auto"/>
                <w:bottom w:val="none" w:sz="0" w:space="0" w:color="auto"/>
                <w:right w:val="none" w:sz="0" w:space="0" w:color="auto"/>
              </w:divBdr>
            </w:div>
          </w:divsChild>
        </w:div>
        <w:div w:id="183398330">
          <w:marLeft w:val="0"/>
          <w:marRight w:val="0"/>
          <w:marTop w:val="0"/>
          <w:marBottom w:val="0"/>
          <w:divBdr>
            <w:top w:val="none" w:sz="0" w:space="0" w:color="auto"/>
            <w:left w:val="none" w:sz="0" w:space="0" w:color="auto"/>
            <w:bottom w:val="none" w:sz="0" w:space="0" w:color="auto"/>
            <w:right w:val="none" w:sz="0" w:space="0" w:color="auto"/>
          </w:divBdr>
          <w:divsChild>
            <w:div w:id="873349412">
              <w:marLeft w:val="0"/>
              <w:marRight w:val="0"/>
              <w:marTop w:val="0"/>
              <w:marBottom w:val="0"/>
              <w:divBdr>
                <w:top w:val="none" w:sz="0" w:space="0" w:color="auto"/>
                <w:left w:val="none" w:sz="0" w:space="0" w:color="auto"/>
                <w:bottom w:val="none" w:sz="0" w:space="0" w:color="auto"/>
                <w:right w:val="none" w:sz="0" w:space="0" w:color="auto"/>
              </w:divBdr>
            </w:div>
            <w:div w:id="1176772448">
              <w:marLeft w:val="0"/>
              <w:marRight w:val="0"/>
              <w:marTop w:val="0"/>
              <w:marBottom w:val="0"/>
              <w:divBdr>
                <w:top w:val="none" w:sz="0" w:space="0" w:color="auto"/>
                <w:left w:val="none" w:sz="0" w:space="0" w:color="auto"/>
                <w:bottom w:val="none" w:sz="0" w:space="0" w:color="auto"/>
                <w:right w:val="none" w:sz="0" w:space="0" w:color="auto"/>
              </w:divBdr>
            </w:div>
          </w:divsChild>
        </w:div>
        <w:div w:id="274487714">
          <w:marLeft w:val="0"/>
          <w:marRight w:val="0"/>
          <w:marTop w:val="0"/>
          <w:marBottom w:val="0"/>
          <w:divBdr>
            <w:top w:val="none" w:sz="0" w:space="0" w:color="auto"/>
            <w:left w:val="none" w:sz="0" w:space="0" w:color="auto"/>
            <w:bottom w:val="none" w:sz="0" w:space="0" w:color="auto"/>
            <w:right w:val="none" w:sz="0" w:space="0" w:color="auto"/>
          </w:divBdr>
          <w:divsChild>
            <w:div w:id="1143621269">
              <w:marLeft w:val="0"/>
              <w:marRight w:val="0"/>
              <w:marTop w:val="0"/>
              <w:marBottom w:val="0"/>
              <w:divBdr>
                <w:top w:val="none" w:sz="0" w:space="0" w:color="auto"/>
                <w:left w:val="none" w:sz="0" w:space="0" w:color="auto"/>
                <w:bottom w:val="none" w:sz="0" w:space="0" w:color="auto"/>
                <w:right w:val="none" w:sz="0" w:space="0" w:color="auto"/>
              </w:divBdr>
            </w:div>
            <w:div w:id="1313487818">
              <w:marLeft w:val="0"/>
              <w:marRight w:val="0"/>
              <w:marTop w:val="0"/>
              <w:marBottom w:val="0"/>
              <w:divBdr>
                <w:top w:val="none" w:sz="0" w:space="0" w:color="auto"/>
                <w:left w:val="none" w:sz="0" w:space="0" w:color="auto"/>
                <w:bottom w:val="none" w:sz="0" w:space="0" w:color="auto"/>
                <w:right w:val="none" w:sz="0" w:space="0" w:color="auto"/>
              </w:divBdr>
            </w:div>
          </w:divsChild>
        </w:div>
        <w:div w:id="473452245">
          <w:marLeft w:val="0"/>
          <w:marRight w:val="0"/>
          <w:marTop w:val="0"/>
          <w:marBottom w:val="0"/>
          <w:divBdr>
            <w:top w:val="none" w:sz="0" w:space="0" w:color="auto"/>
            <w:left w:val="none" w:sz="0" w:space="0" w:color="auto"/>
            <w:bottom w:val="none" w:sz="0" w:space="0" w:color="auto"/>
            <w:right w:val="none" w:sz="0" w:space="0" w:color="auto"/>
          </w:divBdr>
          <w:divsChild>
            <w:div w:id="1915318516">
              <w:marLeft w:val="0"/>
              <w:marRight w:val="0"/>
              <w:marTop w:val="0"/>
              <w:marBottom w:val="0"/>
              <w:divBdr>
                <w:top w:val="none" w:sz="0" w:space="0" w:color="auto"/>
                <w:left w:val="none" w:sz="0" w:space="0" w:color="auto"/>
                <w:bottom w:val="none" w:sz="0" w:space="0" w:color="auto"/>
                <w:right w:val="none" w:sz="0" w:space="0" w:color="auto"/>
              </w:divBdr>
            </w:div>
          </w:divsChild>
        </w:div>
        <w:div w:id="552498033">
          <w:marLeft w:val="0"/>
          <w:marRight w:val="0"/>
          <w:marTop w:val="0"/>
          <w:marBottom w:val="0"/>
          <w:divBdr>
            <w:top w:val="none" w:sz="0" w:space="0" w:color="auto"/>
            <w:left w:val="none" w:sz="0" w:space="0" w:color="auto"/>
            <w:bottom w:val="none" w:sz="0" w:space="0" w:color="auto"/>
            <w:right w:val="none" w:sz="0" w:space="0" w:color="auto"/>
          </w:divBdr>
          <w:divsChild>
            <w:div w:id="822819494">
              <w:marLeft w:val="0"/>
              <w:marRight w:val="0"/>
              <w:marTop w:val="0"/>
              <w:marBottom w:val="0"/>
              <w:divBdr>
                <w:top w:val="none" w:sz="0" w:space="0" w:color="auto"/>
                <w:left w:val="none" w:sz="0" w:space="0" w:color="auto"/>
                <w:bottom w:val="none" w:sz="0" w:space="0" w:color="auto"/>
                <w:right w:val="none" w:sz="0" w:space="0" w:color="auto"/>
              </w:divBdr>
            </w:div>
          </w:divsChild>
        </w:div>
        <w:div w:id="906650908">
          <w:marLeft w:val="0"/>
          <w:marRight w:val="0"/>
          <w:marTop w:val="0"/>
          <w:marBottom w:val="0"/>
          <w:divBdr>
            <w:top w:val="none" w:sz="0" w:space="0" w:color="auto"/>
            <w:left w:val="none" w:sz="0" w:space="0" w:color="auto"/>
            <w:bottom w:val="none" w:sz="0" w:space="0" w:color="auto"/>
            <w:right w:val="none" w:sz="0" w:space="0" w:color="auto"/>
          </w:divBdr>
          <w:divsChild>
            <w:div w:id="848180121">
              <w:marLeft w:val="0"/>
              <w:marRight w:val="0"/>
              <w:marTop w:val="0"/>
              <w:marBottom w:val="0"/>
              <w:divBdr>
                <w:top w:val="none" w:sz="0" w:space="0" w:color="auto"/>
                <w:left w:val="none" w:sz="0" w:space="0" w:color="auto"/>
                <w:bottom w:val="none" w:sz="0" w:space="0" w:color="auto"/>
                <w:right w:val="none" w:sz="0" w:space="0" w:color="auto"/>
              </w:divBdr>
            </w:div>
          </w:divsChild>
        </w:div>
        <w:div w:id="1166556234">
          <w:marLeft w:val="0"/>
          <w:marRight w:val="0"/>
          <w:marTop w:val="0"/>
          <w:marBottom w:val="0"/>
          <w:divBdr>
            <w:top w:val="none" w:sz="0" w:space="0" w:color="auto"/>
            <w:left w:val="none" w:sz="0" w:space="0" w:color="auto"/>
            <w:bottom w:val="none" w:sz="0" w:space="0" w:color="auto"/>
            <w:right w:val="none" w:sz="0" w:space="0" w:color="auto"/>
          </w:divBdr>
          <w:divsChild>
            <w:div w:id="1379087638">
              <w:marLeft w:val="0"/>
              <w:marRight w:val="0"/>
              <w:marTop w:val="0"/>
              <w:marBottom w:val="0"/>
              <w:divBdr>
                <w:top w:val="none" w:sz="0" w:space="0" w:color="auto"/>
                <w:left w:val="none" w:sz="0" w:space="0" w:color="auto"/>
                <w:bottom w:val="none" w:sz="0" w:space="0" w:color="auto"/>
                <w:right w:val="none" w:sz="0" w:space="0" w:color="auto"/>
              </w:divBdr>
            </w:div>
          </w:divsChild>
        </w:div>
        <w:div w:id="1282761449">
          <w:marLeft w:val="0"/>
          <w:marRight w:val="0"/>
          <w:marTop w:val="0"/>
          <w:marBottom w:val="0"/>
          <w:divBdr>
            <w:top w:val="none" w:sz="0" w:space="0" w:color="auto"/>
            <w:left w:val="none" w:sz="0" w:space="0" w:color="auto"/>
            <w:bottom w:val="none" w:sz="0" w:space="0" w:color="auto"/>
            <w:right w:val="none" w:sz="0" w:space="0" w:color="auto"/>
          </w:divBdr>
          <w:divsChild>
            <w:div w:id="763962078">
              <w:marLeft w:val="0"/>
              <w:marRight w:val="0"/>
              <w:marTop w:val="0"/>
              <w:marBottom w:val="0"/>
              <w:divBdr>
                <w:top w:val="none" w:sz="0" w:space="0" w:color="auto"/>
                <w:left w:val="none" w:sz="0" w:space="0" w:color="auto"/>
                <w:bottom w:val="none" w:sz="0" w:space="0" w:color="auto"/>
                <w:right w:val="none" w:sz="0" w:space="0" w:color="auto"/>
              </w:divBdr>
            </w:div>
            <w:div w:id="859011736">
              <w:marLeft w:val="0"/>
              <w:marRight w:val="0"/>
              <w:marTop w:val="0"/>
              <w:marBottom w:val="0"/>
              <w:divBdr>
                <w:top w:val="none" w:sz="0" w:space="0" w:color="auto"/>
                <w:left w:val="none" w:sz="0" w:space="0" w:color="auto"/>
                <w:bottom w:val="none" w:sz="0" w:space="0" w:color="auto"/>
                <w:right w:val="none" w:sz="0" w:space="0" w:color="auto"/>
              </w:divBdr>
            </w:div>
          </w:divsChild>
        </w:div>
        <w:div w:id="1412118476">
          <w:marLeft w:val="0"/>
          <w:marRight w:val="0"/>
          <w:marTop w:val="0"/>
          <w:marBottom w:val="0"/>
          <w:divBdr>
            <w:top w:val="none" w:sz="0" w:space="0" w:color="auto"/>
            <w:left w:val="none" w:sz="0" w:space="0" w:color="auto"/>
            <w:bottom w:val="none" w:sz="0" w:space="0" w:color="auto"/>
            <w:right w:val="none" w:sz="0" w:space="0" w:color="auto"/>
          </w:divBdr>
          <w:divsChild>
            <w:div w:id="24261557">
              <w:marLeft w:val="0"/>
              <w:marRight w:val="0"/>
              <w:marTop w:val="0"/>
              <w:marBottom w:val="0"/>
              <w:divBdr>
                <w:top w:val="none" w:sz="0" w:space="0" w:color="auto"/>
                <w:left w:val="none" w:sz="0" w:space="0" w:color="auto"/>
                <w:bottom w:val="none" w:sz="0" w:space="0" w:color="auto"/>
                <w:right w:val="none" w:sz="0" w:space="0" w:color="auto"/>
              </w:divBdr>
            </w:div>
          </w:divsChild>
        </w:div>
        <w:div w:id="1430390435">
          <w:marLeft w:val="0"/>
          <w:marRight w:val="0"/>
          <w:marTop w:val="0"/>
          <w:marBottom w:val="0"/>
          <w:divBdr>
            <w:top w:val="none" w:sz="0" w:space="0" w:color="auto"/>
            <w:left w:val="none" w:sz="0" w:space="0" w:color="auto"/>
            <w:bottom w:val="none" w:sz="0" w:space="0" w:color="auto"/>
            <w:right w:val="none" w:sz="0" w:space="0" w:color="auto"/>
          </w:divBdr>
          <w:divsChild>
            <w:div w:id="1407142861">
              <w:marLeft w:val="0"/>
              <w:marRight w:val="0"/>
              <w:marTop w:val="0"/>
              <w:marBottom w:val="0"/>
              <w:divBdr>
                <w:top w:val="none" w:sz="0" w:space="0" w:color="auto"/>
                <w:left w:val="none" w:sz="0" w:space="0" w:color="auto"/>
                <w:bottom w:val="none" w:sz="0" w:space="0" w:color="auto"/>
                <w:right w:val="none" w:sz="0" w:space="0" w:color="auto"/>
              </w:divBdr>
            </w:div>
            <w:div w:id="1731345307">
              <w:marLeft w:val="0"/>
              <w:marRight w:val="0"/>
              <w:marTop w:val="0"/>
              <w:marBottom w:val="0"/>
              <w:divBdr>
                <w:top w:val="none" w:sz="0" w:space="0" w:color="auto"/>
                <w:left w:val="none" w:sz="0" w:space="0" w:color="auto"/>
                <w:bottom w:val="none" w:sz="0" w:space="0" w:color="auto"/>
                <w:right w:val="none" w:sz="0" w:space="0" w:color="auto"/>
              </w:divBdr>
            </w:div>
          </w:divsChild>
        </w:div>
        <w:div w:id="1694768881">
          <w:marLeft w:val="0"/>
          <w:marRight w:val="0"/>
          <w:marTop w:val="0"/>
          <w:marBottom w:val="0"/>
          <w:divBdr>
            <w:top w:val="none" w:sz="0" w:space="0" w:color="auto"/>
            <w:left w:val="none" w:sz="0" w:space="0" w:color="auto"/>
            <w:bottom w:val="none" w:sz="0" w:space="0" w:color="auto"/>
            <w:right w:val="none" w:sz="0" w:space="0" w:color="auto"/>
          </w:divBdr>
          <w:divsChild>
            <w:div w:id="155725526">
              <w:marLeft w:val="0"/>
              <w:marRight w:val="0"/>
              <w:marTop w:val="0"/>
              <w:marBottom w:val="0"/>
              <w:divBdr>
                <w:top w:val="none" w:sz="0" w:space="0" w:color="auto"/>
                <w:left w:val="none" w:sz="0" w:space="0" w:color="auto"/>
                <w:bottom w:val="none" w:sz="0" w:space="0" w:color="auto"/>
                <w:right w:val="none" w:sz="0" w:space="0" w:color="auto"/>
              </w:divBdr>
            </w:div>
          </w:divsChild>
        </w:div>
        <w:div w:id="1954247663">
          <w:marLeft w:val="0"/>
          <w:marRight w:val="0"/>
          <w:marTop w:val="0"/>
          <w:marBottom w:val="0"/>
          <w:divBdr>
            <w:top w:val="none" w:sz="0" w:space="0" w:color="auto"/>
            <w:left w:val="none" w:sz="0" w:space="0" w:color="auto"/>
            <w:bottom w:val="none" w:sz="0" w:space="0" w:color="auto"/>
            <w:right w:val="none" w:sz="0" w:space="0" w:color="auto"/>
          </w:divBdr>
          <w:divsChild>
            <w:div w:id="1450474129">
              <w:marLeft w:val="0"/>
              <w:marRight w:val="0"/>
              <w:marTop w:val="0"/>
              <w:marBottom w:val="0"/>
              <w:divBdr>
                <w:top w:val="none" w:sz="0" w:space="0" w:color="auto"/>
                <w:left w:val="none" w:sz="0" w:space="0" w:color="auto"/>
                <w:bottom w:val="none" w:sz="0" w:space="0" w:color="auto"/>
                <w:right w:val="none" w:sz="0" w:space="0" w:color="auto"/>
              </w:divBdr>
            </w:div>
          </w:divsChild>
        </w:div>
        <w:div w:id="2084183087">
          <w:marLeft w:val="0"/>
          <w:marRight w:val="0"/>
          <w:marTop w:val="0"/>
          <w:marBottom w:val="0"/>
          <w:divBdr>
            <w:top w:val="none" w:sz="0" w:space="0" w:color="auto"/>
            <w:left w:val="none" w:sz="0" w:space="0" w:color="auto"/>
            <w:bottom w:val="none" w:sz="0" w:space="0" w:color="auto"/>
            <w:right w:val="none" w:sz="0" w:space="0" w:color="auto"/>
          </w:divBdr>
          <w:divsChild>
            <w:div w:id="197810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334347">
      <w:bodyDiv w:val="1"/>
      <w:marLeft w:val="0"/>
      <w:marRight w:val="0"/>
      <w:marTop w:val="0"/>
      <w:marBottom w:val="0"/>
      <w:divBdr>
        <w:top w:val="none" w:sz="0" w:space="0" w:color="auto"/>
        <w:left w:val="none" w:sz="0" w:space="0" w:color="auto"/>
        <w:bottom w:val="none" w:sz="0" w:space="0" w:color="auto"/>
        <w:right w:val="none" w:sz="0" w:space="0" w:color="auto"/>
      </w:divBdr>
      <w:divsChild>
        <w:div w:id="142896358">
          <w:marLeft w:val="0"/>
          <w:marRight w:val="0"/>
          <w:marTop w:val="0"/>
          <w:marBottom w:val="0"/>
          <w:divBdr>
            <w:top w:val="single" w:sz="36" w:space="0" w:color="075290"/>
            <w:left w:val="none" w:sz="0" w:space="0" w:color="auto"/>
            <w:bottom w:val="none" w:sz="0" w:space="0" w:color="auto"/>
            <w:right w:val="none" w:sz="0" w:space="0" w:color="auto"/>
          </w:divBdr>
          <w:divsChild>
            <w:div w:id="1886524865">
              <w:marLeft w:val="0"/>
              <w:marRight w:val="0"/>
              <w:marTop w:val="0"/>
              <w:marBottom w:val="0"/>
              <w:divBdr>
                <w:top w:val="none" w:sz="0" w:space="0" w:color="auto"/>
                <w:left w:val="none" w:sz="0" w:space="0" w:color="auto"/>
                <w:bottom w:val="none" w:sz="0" w:space="0" w:color="auto"/>
                <w:right w:val="none" w:sz="0" w:space="0" w:color="auto"/>
              </w:divBdr>
              <w:divsChild>
                <w:div w:id="1233080088">
                  <w:marLeft w:val="0"/>
                  <w:marRight w:val="0"/>
                  <w:marTop w:val="150"/>
                  <w:marBottom w:val="0"/>
                  <w:divBdr>
                    <w:top w:val="none" w:sz="0" w:space="0" w:color="auto"/>
                    <w:left w:val="none" w:sz="0" w:space="0" w:color="auto"/>
                    <w:bottom w:val="none" w:sz="0" w:space="0" w:color="auto"/>
                    <w:right w:val="none" w:sz="0" w:space="0" w:color="auto"/>
                  </w:divBdr>
                  <w:divsChild>
                    <w:div w:id="902184209">
                      <w:marLeft w:val="-150"/>
                      <w:marRight w:val="0"/>
                      <w:marTop w:val="0"/>
                      <w:marBottom w:val="0"/>
                      <w:divBdr>
                        <w:top w:val="none" w:sz="0" w:space="0" w:color="auto"/>
                        <w:left w:val="none" w:sz="0" w:space="0" w:color="auto"/>
                        <w:bottom w:val="none" w:sz="0" w:space="0" w:color="auto"/>
                        <w:right w:val="none" w:sz="0" w:space="0" w:color="auto"/>
                      </w:divBdr>
                      <w:divsChild>
                        <w:div w:id="470051081">
                          <w:marLeft w:val="0"/>
                          <w:marRight w:val="0"/>
                          <w:marTop w:val="0"/>
                          <w:marBottom w:val="0"/>
                          <w:divBdr>
                            <w:top w:val="none" w:sz="0" w:space="0" w:color="auto"/>
                            <w:left w:val="none" w:sz="0" w:space="0" w:color="auto"/>
                            <w:bottom w:val="none" w:sz="0" w:space="0" w:color="auto"/>
                            <w:right w:val="none" w:sz="0" w:space="0" w:color="auto"/>
                          </w:divBdr>
                          <w:divsChild>
                            <w:div w:id="1989480757">
                              <w:marLeft w:val="0"/>
                              <w:marRight w:val="0"/>
                              <w:marTop w:val="0"/>
                              <w:marBottom w:val="0"/>
                              <w:divBdr>
                                <w:top w:val="none" w:sz="0" w:space="0" w:color="auto"/>
                                <w:left w:val="none" w:sz="0" w:space="0" w:color="auto"/>
                                <w:bottom w:val="none" w:sz="0" w:space="0" w:color="auto"/>
                                <w:right w:val="none" w:sz="0" w:space="0" w:color="auto"/>
                              </w:divBdr>
                              <w:divsChild>
                                <w:div w:id="1299804304">
                                  <w:marLeft w:val="0"/>
                                  <w:marRight w:val="0"/>
                                  <w:marTop w:val="0"/>
                                  <w:marBottom w:val="0"/>
                                  <w:divBdr>
                                    <w:top w:val="none" w:sz="0" w:space="0" w:color="auto"/>
                                    <w:left w:val="none" w:sz="0" w:space="0" w:color="auto"/>
                                    <w:bottom w:val="none" w:sz="0" w:space="0" w:color="auto"/>
                                    <w:right w:val="none" w:sz="0" w:space="0" w:color="auto"/>
                                  </w:divBdr>
                                  <w:divsChild>
                                    <w:div w:id="1049186845">
                                      <w:marLeft w:val="-150"/>
                                      <w:marRight w:val="0"/>
                                      <w:marTop w:val="0"/>
                                      <w:marBottom w:val="0"/>
                                      <w:divBdr>
                                        <w:top w:val="none" w:sz="0" w:space="0" w:color="auto"/>
                                        <w:left w:val="none" w:sz="0" w:space="0" w:color="auto"/>
                                        <w:bottom w:val="none" w:sz="0" w:space="0" w:color="auto"/>
                                        <w:right w:val="none" w:sz="0" w:space="0" w:color="auto"/>
                                      </w:divBdr>
                                      <w:divsChild>
                                        <w:div w:id="748426199">
                                          <w:marLeft w:val="0"/>
                                          <w:marRight w:val="0"/>
                                          <w:marTop w:val="0"/>
                                          <w:marBottom w:val="0"/>
                                          <w:divBdr>
                                            <w:top w:val="none" w:sz="0" w:space="0" w:color="auto"/>
                                            <w:left w:val="none" w:sz="0" w:space="0" w:color="auto"/>
                                            <w:bottom w:val="none" w:sz="0" w:space="0" w:color="auto"/>
                                            <w:right w:val="none" w:sz="0" w:space="0" w:color="auto"/>
                                          </w:divBdr>
                                          <w:divsChild>
                                            <w:div w:id="1800806030">
                                              <w:marLeft w:val="0"/>
                                              <w:marRight w:val="0"/>
                                              <w:marTop w:val="0"/>
                                              <w:marBottom w:val="0"/>
                                              <w:divBdr>
                                                <w:top w:val="none" w:sz="0" w:space="0" w:color="auto"/>
                                                <w:left w:val="none" w:sz="0" w:space="0" w:color="auto"/>
                                                <w:bottom w:val="none" w:sz="0" w:space="0" w:color="auto"/>
                                                <w:right w:val="none" w:sz="0" w:space="0" w:color="auto"/>
                                              </w:divBdr>
                                              <w:divsChild>
                                                <w:div w:id="12262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143551">
      <w:bodyDiv w:val="1"/>
      <w:marLeft w:val="0"/>
      <w:marRight w:val="0"/>
      <w:marTop w:val="0"/>
      <w:marBottom w:val="0"/>
      <w:divBdr>
        <w:top w:val="none" w:sz="0" w:space="0" w:color="auto"/>
        <w:left w:val="none" w:sz="0" w:space="0" w:color="auto"/>
        <w:bottom w:val="none" w:sz="0" w:space="0" w:color="auto"/>
        <w:right w:val="none" w:sz="0" w:space="0" w:color="auto"/>
      </w:divBdr>
      <w:divsChild>
        <w:div w:id="106588484">
          <w:marLeft w:val="0"/>
          <w:marRight w:val="0"/>
          <w:marTop w:val="0"/>
          <w:marBottom w:val="0"/>
          <w:divBdr>
            <w:top w:val="none" w:sz="0" w:space="0" w:color="auto"/>
            <w:left w:val="none" w:sz="0" w:space="0" w:color="auto"/>
            <w:bottom w:val="none" w:sz="0" w:space="0" w:color="auto"/>
            <w:right w:val="none" w:sz="0" w:space="0" w:color="auto"/>
          </w:divBdr>
          <w:divsChild>
            <w:div w:id="466053121">
              <w:marLeft w:val="0"/>
              <w:marRight w:val="0"/>
              <w:marTop w:val="0"/>
              <w:marBottom w:val="0"/>
              <w:divBdr>
                <w:top w:val="none" w:sz="0" w:space="0" w:color="auto"/>
                <w:left w:val="none" w:sz="0" w:space="0" w:color="auto"/>
                <w:bottom w:val="none" w:sz="0" w:space="0" w:color="auto"/>
                <w:right w:val="none" w:sz="0" w:space="0" w:color="auto"/>
              </w:divBdr>
            </w:div>
          </w:divsChild>
        </w:div>
        <w:div w:id="571696893">
          <w:marLeft w:val="0"/>
          <w:marRight w:val="0"/>
          <w:marTop w:val="0"/>
          <w:marBottom w:val="0"/>
          <w:divBdr>
            <w:top w:val="none" w:sz="0" w:space="0" w:color="auto"/>
            <w:left w:val="none" w:sz="0" w:space="0" w:color="auto"/>
            <w:bottom w:val="none" w:sz="0" w:space="0" w:color="auto"/>
            <w:right w:val="none" w:sz="0" w:space="0" w:color="auto"/>
          </w:divBdr>
          <w:divsChild>
            <w:div w:id="1777286880">
              <w:marLeft w:val="0"/>
              <w:marRight w:val="0"/>
              <w:marTop w:val="0"/>
              <w:marBottom w:val="0"/>
              <w:divBdr>
                <w:top w:val="none" w:sz="0" w:space="0" w:color="auto"/>
                <w:left w:val="none" w:sz="0" w:space="0" w:color="auto"/>
                <w:bottom w:val="none" w:sz="0" w:space="0" w:color="auto"/>
                <w:right w:val="none" w:sz="0" w:space="0" w:color="auto"/>
              </w:divBdr>
            </w:div>
          </w:divsChild>
        </w:div>
        <w:div w:id="743379818">
          <w:marLeft w:val="0"/>
          <w:marRight w:val="0"/>
          <w:marTop w:val="0"/>
          <w:marBottom w:val="0"/>
          <w:divBdr>
            <w:top w:val="none" w:sz="0" w:space="0" w:color="auto"/>
            <w:left w:val="none" w:sz="0" w:space="0" w:color="auto"/>
            <w:bottom w:val="none" w:sz="0" w:space="0" w:color="auto"/>
            <w:right w:val="none" w:sz="0" w:space="0" w:color="auto"/>
          </w:divBdr>
          <w:divsChild>
            <w:div w:id="1512334514">
              <w:marLeft w:val="0"/>
              <w:marRight w:val="0"/>
              <w:marTop w:val="0"/>
              <w:marBottom w:val="0"/>
              <w:divBdr>
                <w:top w:val="none" w:sz="0" w:space="0" w:color="auto"/>
                <w:left w:val="none" w:sz="0" w:space="0" w:color="auto"/>
                <w:bottom w:val="none" w:sz="0" w:space="0" w:color="auto"/>
                <w:right w:val="none" w:sz="0" w:space="0" w:color="auto"/>
              </w:divBdr>
            </w:div>
          </w:divsChild>
        </w:div>
        <w:div w:id="1030297087">
          <w:marLeft w:val="0"/>
          <w:marRight w:val="0"/>
          <w:marTop w:val="0"/>
          <w:marBottom w:val="0"/>
          <w:divBdr>
            <w:top w:val="none" w:sz="0" w:space="0" w:color="auto"/>
            <w:left w:val="none" w:sz="0" w:space="0" w:color="auto"/>
            <w:bottom w:val="none" w:sz="0" w:space="0" w:color="auto"/>
            <w:right w:val="none" w:sz="0" w:space="0" w:color="auto"/>
          </w:divBdr>
          <w:divsChild>
            <w:div w:id="1006251096">
              <w:marLeft w:val="0"/>
              <w:marRight w:val="0"/>
              <w:marTop w:val="0"/>
              <w:marBottom w:val="0"/>
              <w:divBdr>
                <w:top w:val="none" w:sz="0" w:space="0" w:color="auto"/>
                <w:left w:val="none" w:sz="0" w:space="0" w:color="auto"/>
                <w:bottom w:val="none" w:sz="0" w:space="0" w:color="auto"/>
                <w:right w:val="none" w:sz="0" w:space="0" w:color="auto"/>
              </w:divBdr>
            </w:div>
          </w:divsChild>
        </w:div>
        <w:div w:id="1082869817">
          <w:marLeft w:val="0"/>
          <w:marRight w:val="0"/>
          <w:marTop w:val="0"/>
          <w:marBottom w:val="0"/>
          <w:divBdr>
            <w:top w:val="none" w:sz="0" w:space="0" w:color="auto"/>
            <w:left w:val="none" w:sz="0" w:space="0" w:color="auto"/>
            <w:bottom w:val="none" w:sz="0" w:space="0" w:color="auto"/>
            <w:right w:val="none" w:sz="0" w:space="0" w:color="auto"/>
          </w:divBdr>
          <w:divsChild>
            <w:div w:id="318195165">
              <w:marLeft w:val="0"/>
              <w:marRight w:val="0"/>
              <w:marTop w:val="0"/>
              <w:marBottom w:val="0"/>
              <w:divBdr>
                <w:top w:val="none" w:sz="0" w:space="0" w:color="auto"/>
                <w:left w:val="none" w:sz="0" w:space="0" w:color="auto"/>
                <w:bottom w:val="none" w:sz="0" w:space="0" w:color="auto"/>
                <w:right w:val="none" w:sz="0" w:space="0" w:color="auto"/>
              </w:divBdr>
            </w:div>
          </w:divsChild>
        </w:div>
        <w:div w:id="1358118682">
          <w:marLeft w:val="0"/>
          <w:marRight w:val="0"/>
          <w:marTop w:val="0"/>
          <w:marBottom w:val="0"/>
          <w:divBdr>
            <w:top w:val="none" w:sz="0" w:space="0" w:color="auto"/>
            <w:left w:val="none" w:sz="0" w:space="0" w:color="auto"/>
            <w:bottom w:val="none" w:sz="0" w:space="0" w:color="auto"/>
            <w:right w:val="none" w:sz="0" w:space="0" w:color="auto"/>
          </w:divBdr>
          <w:divsChild>
            <w:div w:id="1229922835">
              <w:marLeft w:val="0"/>
              <w:marRight w:val="0"/>
              <w:marTop w:val="0"/>
              <w:marBottom w:val="0"/>
              <w:divBdr>
                <w:top w:val="none" w:sz="0" w:space="0" w:color="auto"/>
                <w:left w:val="none" w:sz="0" w:space="0" w:color="auto"/>
                <w:bottom w:val="none" w:sz="0" w:space="0" w:color="auto"/>
                <w:right w:val="none" w:sz="0" w:space="0" w:color="auto"/>
              </w:divBdr>
            </w:div>
          </w:divsChild>
        </w:div>
        <w:div w:id="1499149947">
          <w:marLeft w:val="0"/>
          <w:marRight w:val="0"/>
          <w:marTop w:val="0"/>
          <w:marBottom w:val="0"/>
          <w:divBdr>
            <w:top w:val="none" w:sz="0" w:space="0" w:color="auto"/>
            <w:left w:val="none" w:sz="0" w:space="0" w:color="auto"/>
            <w:bottom w:val="none" w:sz="0" w:space="0" w:color="auto"/>
            <w:right w:val="none" w:sz="0" w:space="0" w:color="auto"/>
          </w:divBdr>
          <w:divsChild>
            <w:div w:id="1440830138">
              <w:marLeft w:val="0"/>
              <w:marRight w:val="0"/>
              <w:marTop w:val="0"/>
              <w:marBottom w:val="0"/>
              <w:divBdr>
                <w:top w:val="none" w:sz="0" w:space="0" w:color="auto"/>
                <w:left w:val="none" w:sz="0" w:space="0" w:color="auto"/>
                <w:bottom w:val="none" w:sz="0" w:space="0" w:color="auto"/>
                <w:right w:val="none" w:sz="0" w:space="0" w:color="auto"/>
              </w:divBdr>
            </w:div>
          </w:divsChild>
        </w:div>
        <w:div w:id="1840582328">
          <w:marLeft w:val="0"/>
          <w:marRight w:val="0"/>
          <w:marTop w:val="0"/>
          <w:marBottom w:val="0"/>
          <w:divBdr>
            <w:top w:val="none" w:sz="0" w:space="0" w:color="auto"/>
            <w:left w:val="none" w:sz="0" w:space="0" w:color="auto"/>
            <w:bottom w:val="none" w:sz="0" w:space="0" w:color="auto"/>
            <w:right w:val="none" w:sz="0" w:space="0" w:color="auto"/>
          </w:divBdr>
          <w:divsChild>
            <w:div w:id="1059790910">
              <w:marLeft w:val="0"/>
              <w:marRight w:val="0"/>
              <w:marTop w:val="0"/>
              <w:marBottom w:val="0"/>
              <w:divBdr>
                <w:top w:val="none" w:sz="0" w:space="0" w:color="auto"/>
                <w:left w:val="none" w:sz="0" w:space="0" w:color="auto"/>
                <w:bottom w:val="none" w:sz="0" w:space="0" w:color="auto"/>
                <w:right w:val="none" w:sz="0" w:space="0" w:color="auto"/>
              </w:divBdr>
            </w:div>
          </w:divsChild>
        </w:div>
        <w:div w:id="1905020984">
          <w:marLeft w:val="0"/>
          <w:marRight w:val="0"/>
          <w:marTop w:val="0"/>
          <w:marBottom w:val="0"/>
          <w:divBdr>
            <w:top w:val="none" w:sz="0" w:space="0" w:color="auto"/>
            <w:left w:val="none" w:sz="0" w:space="0" w:color="auto"/>
            <w:bottom w:val="none" w:sz="0" w:space="0" w:color="auto"/>
            <w:right w:val="none" w:sz="0" w:space="0" w:color="auto"/>
          </w:divBdr>
          <w:divsChild>
            <w:div w:id="1815021698">
              <w:marLeft w:val="0"/>
              <w:marRight w:val="0"/>
              <w:marTop w:val="0"/>
              <w:marBottom w:val="0"/>
              <w:divBdr>
                <w:top w:val="none" w:sz="0" w:space="0" w:color="auto"/>
                <w:left w:val="none" w:sz="0" w:space="0" w:color="auto"/>
                <w:bottom w:val="none" w:sz="0" w:space="0" w:color="auto"/>
                <w:right w:val="none" w:sz="0" w:space="0" w:color="auto"/>
              </w:divBdr>
            </w:div>
          </w:divsChild>
        </w:div>
        <w:div w:id="2040006528">
          <w:marLeft w:val="0"/>
          <w:marRight w:val="0"/>
          <w:marTop w:val="0"/>
          <w:marBottom w:val="0"/>
          <w:divBdr>
            <w:top w:val="none" w:sz="0" w:space="0" w:color="auto"/>
            <w:left w:val="none" w:sz="0" w:space="0" w:color="auto"/>
            <w:bottom w:val="none" w:sz="0" w:space="0" w:color="auto"/>
            <w:right w:val="none" w:sz="0" w:space="0" w:color="auto"/>
          </w:divBdr>
          <w:divsChild>
            <w:div w:id="48085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533959">
      <w:bodyDiv w:val="1"/>
      <w:marLeft w:val="0"/>
      <w:marRight w:val="0"/>
      <w:marTop w:val="0"/>
      <w:marBottom w:val="0"/>
      <w:divBdr>
        <w:top w:val="none" w:sz="0" w:space="0" w:color="auto"/>
        <w:left w:val="none" w:sz="0" w:space="0" w:color="auto"/>
        <w:bottom w:val="none" w:sz="0" w:space="0" w:color="auto"/>
        <w:right w:val="none" w:sz="0" w:space="0" w:color="auto"/>
      </w:divBdr>
      <w:divsChild>
        <w:div w:id="182792858">
          <w:marLeft w:val="0"/>
          <w:marRight w:val="0"/>
          <w:marTop w:val="0"/>
          <w:marBottom w:val="0"/>
          <w:divBdr>
            <w:top w:val="none" w:sz="0" w:space="0" w:color="auto"/>
            <w:left w:val="none" w:sz="0" w:space="0" w:color="auto"/>
            <w:bottom w:val="none" w:sz="0" w:space="0" w:color="auto"/>
            <w:right w:val="none" w:sz="0" w:space="0" w:color="auto"/>
          </w:divBdr>
          <w:divsChild>
            <w:div w:id="1342312576">
              <w:marLeft w:val="0"/>
              <w:marRight w:val="0"/>
              <w:marTop w:val="0"/>
              <w:marBottom w:val="0"/>
              <w:divBdr>
                <w:top w:val="none" w:sz="0" w:space="0" w:color="auto"/>
                <w:left w:val="none" w:sz="0" w:space="0" w:color="auto"/>
                <w:bottom w:val="none" w:sz="0" w:space="0" w:color="auto"/>
                <w:right w:val="none" w:sz="0" w:space="0" w:color="auto"/>
              </w:divBdr>
              <w:divsChild>
                <w:div w:id="83655180">
                  <w:marLeft w:val="0"/>
                  <w:marRight w:val="0"/>
                  <w:marTop w:val="0"/>
                  <w:marBottom w:val="0"/>
                  <w:divBdr>
                    <w:top w:val="none" w:sz="0" w:space="0" w:color="auto"/>
                    <w:left w:val="none" w:sz="0" w:space="0" w:color="auto"/>
                    <w:bottom w:val="none" w:sz="0" w:space="0" w:color="auto"/>
                    <w:right w:val="none" w:sz="0" w:space="0" w:color="auto"/>
                  </w:divBdr>
                  <w:divsChild>
                    <w:div w:id="671108228">
                      <w:marLeft w:val="0"/>
                      <w:marRight w:val="0"/>
                      <w:marTop w:val="0"/>
                      <w:marBottom w:val="0"/>
                      <w:divBdr>
                        <w:top w:val="none" w:sz="0" w:space="0" w:color="auto"/>
                        <w:left w:val="none" w:sz="0" w:space="0" w:color="auto"/>
                        <w:bottom w:val="none" w:sz="0" w:space="0" w:color="auto"/>
                        <w:right w:val="none" w:sz="0" w:space="0" w:color="auto"/>
                      </w:divBdr>
                      <w:divsChild>
                        <w:div w:id="2127116847">
                          <w:marLeft w:val="0"/>
                          <w:marRight w:val="0"/>
                          <w:marTop w:val="0"/>
                          <w:marBottom w:val="0"/>
                          <w:divBdr>
                            <w:top w:val="none" w:sz="0" w:space="0" w:color="auto"/>
                            <w:left w:val="none" w:sz="0" w:space="0" w:color="auto"/>
                            <w:bottom w:val="none" w:sz="0" w:space="0" w:color="auto"/>
                            <w:right w:val="none" w:sz="0" w:space="0" w:color="auto"/>
                          </w:divBdr>
                          <w:divsChild>
                            <w:div w:id="1653169605">
                              <w:marLeft w:val="0"/>
                              <w:marRight w:val="0"/>
                              <w:marTop w:val="0"/>
                              <w:marBottom w:val="0"/>
                              <w:divBdr>
                                <w:top w:val="none" w:sz="0" w:space="0" w:color="auto"/>
                                <w:left w:val="none" w:sz="0" w:space="0" w:color="auto"/>
                                <w:bottom w:val="none" w:sz="0" w:space="0" w:color="auto"/>
                                <w:right w:val="none" w:sz="0" w:space="0" w:color="auto"/>
                              </w:divBdr>
                              <w:divsChild>
                                <w:div w:id="1948853700">
                                  <w:marLeft w:val="0"/>
                                  <w:marRight w:val="0"/>
                                  <w:marTop w:val="0"/>
                                  <w:marBottom w:val="0"/>
                                  <w:divBdr>
                                    <w:top w:val="none" w:sz="0" w:space="0" w:color="auto"/>
                                    <w:left w:val="none" w:sz="0" w:space="0" w:color="auto"/>
                                    <w:bottom w:val="none" w:sz="0" w:space="0" w:color="auto"/>
                                    <w:right w:val="none" w:sz="0" w:space="0" w:color="auto"/>
                                  </w:divBdr>
                                  <w:divsChild>
                                    <w:div w:id="1488012926">
                                      <w:marLeft w:val="0"/>
                                      <w:marRight w:val="0"/>
                                      <w:marTop w:val="0"/>
                                      <w:marBottom w:val="0"/>
                                      <w:divBdr>
                                        <w:top w:val="none" w:sz="0" w:space="0" w:color="auto"/>
                                        <w:left w:val="none" w:sz="0" w:space="0" w:color="auto"/>
                                        <w:bottom w:val="none" w:sz="0" w:space="0" w:color="auto"/>
                                        <w:right w:val="none" w:sz="0" w:space="0" w:color="auto"/>
                                      </w:divBdr>
                                      <w:divsChild>
                                        <w:div w:id="727604947">
                                          <w:marLeft w:val="0"/>
                                          <w:marRight w:val="0"/>
                                          <w:marTop w:val="0"/>
                                          <w:marBottom w:val="0"/>
                                          <w:divBdr>
                                            <w:top w:val="none" w:sz="0" w:space="0" w:color="auto"/>
                                            <w:left w:val="none" w:sz="0" w:space="0" w:color="auto"/>
                                            <w:bottom w:val="none" w:sz="0" w:space="0" w:color="auto"/>
                                            <w:right w:val="none" w:sz="0" w:space="0" w:color="auto"/>
                                          </w:divBdr>
                                          <w:divsChild>
                                            <w:div w:id="448159665">
                                              <w:marLeft w:val="0"/>
                                              <w:marRight w:val="0"/>
                                              <w:marTop w:val="0"/>
                                              <w:marBottom w:val="0"/>
                                              <w:divBdr>
                                                <w:top w:val="none" w:sz="0" w:space="0" w:color="auto"/>
                                                <w:left w:val="none" w:sz="0" w:space="0" w:color="auto"/>
                                                <w:bottom w:val="none" w:sz="0" w:space="0" w:color="auto"/>
                                                <w:right w:val="none" w:sz="0" w:space="0" w:color="auto"/>
                                              </w:divBdr>
                                              <w:divsChild>
                                                <w:div w:id="1503470528">
                                                  <w:marLeft w:val="0"/>
                                                  <w:marRight w:val="0"/>
                                                  <w:marTop w:val="0"/>
                                                  <w:marBottom w:val="0"/>
                                                  <w:divBdr>
                                                    <w:top w:val="none" w:sz="0" w:space="0" w:color="auto"/>
                                                    <w:left w:val="none" w:sz="0" w:space="0" w:color="auto"/>
                                                    <w:bottom w:val="none" w:sz="0" w:space="0" w:color="auto"/>
                                                    <w:right w:val="none" w:sz="0" w:space="0" w:color="auto"/>
                                                  </w:divBdr>
                                                  <w:divsChild>
                                                    <w:div w:id="240139080">
                                                      <w:marLeft w:val="0"/>
                                                      <w:marRight w:val="0"/>
                                                      <w:marTop w:val="0"/>
                                                      <w:marBottom w:val="0"/>
                                                      <w:divBdr>
                                                        <w:top w:val="single" w:sz="6" w:space="0" w:color="ABABAB"/>
                                                        <w:left w:val="single" w:sz="6" w:space="0" w:color="ABABAB"/>
                                                        <w:bottom w:val="none" w:sz="0" w:space="0" w:color="auto"/>
                                                        <w:right w:val="single" w:sz="6" w:space="0" w:color="ABABAB"/>
                                                      </w:divBdr>
                                                      <w:divsChild>
                                                        <w:div w:id="1891765129">
                                                          <w:marLeft w:val="0"/>
                                                          <w:marRight w:val="0"/>
                                                          <w:marTop w:val="0"/>
                                                          <w:marBottom w:val="0"/>
                                                          <w:divBdr>
                                                            <w:top w:val="none" w:sz="0" w:space="0" w:color="auto"/>
                                                            <w:left w:val="none" w:sz="0" w:space="0" w:color="auto"/>
                                                            <w:bottom w:val="none" w:sz="0" w:space="0" w:color="auto"/>
                                                            <w:right w:val="none" w:sz="0" w:space="0" w:color="auto"/>
                                                          </w:divBdr>
                                                          <w:divsChild>
                                                            <w:div w:id="2060205000">
                                                              <w:marLeft w:val="0"/>
                                                              <w:marRight w:val="0"/>
                                                              <w:marTop w:val="0"/>
                                                              <w:marBottom w:val="0"/>
                                                              <w:divBdr>
                                                                <w:top w:val="none" w:sz="0" w:space="0" w:color="auto"/>
                                                                <w:left w:val="none" w:sz="0" w:space="0" w:color="auto"/>
                                                                <w:bottom w:val="none" w:sz="0" w:space="0" w:color="auto"/>
                                                                <w:right w:val="none" w:sz="0" w:space="0" w:color="auto"/>
                                                              </w:divBdr>
                                                              <w:divsChild>
                                                                <w:div w:id="1720669663">
                                                                  <w:marLeft w:val="0"/>
                                                                  <w:marRight w:val="0"/>
                                                                  <w:marTop w:val="0"/>
                                                                  <w:marBottom w:val="0"/>
                                                                  <w:divBdr>
                                                                    <w:top w:val="none" w:sz="0" w:space="0" w:color="auto"/>
                                                                    <w:left w:val="none" w:sz="0" w:space="0" w:color="auto"/>
                                                                    <w:bottom w:val="none" w:sz="0" w:space="0" w:color="auto"/>
                                                                    <w:right w:val="none" w:sz="0" w:space="0" w:color="auto"/>
                                                                  </w:divBdr>
                                                                  <w:divsChild>
                                                                    <w:div w:id="847644328">
                                                                      <w:marLeft w:val="0"/>
                                                                      <w:marRight w:val="0"/>
                                                                      <w:marTop w:val="0"/>
                                                                      <w:marBottom w:val="0"/>
                                                                      <w:divBdr>
                                                                        <w:top w:val="none" w:sz="0" w:space="0" w:color="auto"/>
                                                                        <w:left w:val="none" w:sz="0" w:space="0" w:color="auto"/>
                                                                        <w:bottom w:val="none" w:sz="0" w:space="0" w:color="auto"/>
                                                                        <w:right w:val="none" w:sz="0" w:space="0" w:color="auto"/>
                                                                      </w:divBdr>
                                                                      <w:divsChild>
                                                                        <w:div w:id="747993985">
                                                                          <w:marLeft w:val="0"/>
                                                                          <w:marRight w:val="0"/>
                                                                          <w:marTop w:val="0"/>
                                                                          <w:marBottom w:val="0"/>
                                                                          <w:divBdr>
                                                                            <w:top w:val="none" w:sz="0" w:space="0" w:color="auto"/>
                                                                            <w:left w:val="none" w:sz="0" w:space="0" w:color="auto"/>
                                                                            <w:bottom w:val="none" w:sz="0" w:space="0" w:color="auto"/>
                                                                            <w:right w:val="none" w:sz="0" w:space="0" w:color="auto"/>
                                                                          </w:divBdr>
                                                                          <w:divsChild>
                                                                            <w:div w:id="2116557884">
                                                                              <w:marLeft w:val="0"/>
                                                                              <w:marRight w:val="0"/>
                                                                              <w:marTop w:val="0"/>
                                                                              <w:marBottom w:val="0"/>
                                                                              <w:divBdr>
                                                                                <w:top w:val="none" w:sz="0" w:space="0" w:color="auto"/>
                                                                                <w:left w:val="none" w:sz="0" w:space="0" w:color="auto"/>
                                                                                <w:bottom w:val="none" w:sz="0" w:space="0" w:color="auto"/>
                                                                                <w:right w:val="none" w:sz="0" w:space="0" w:color="auto"/>
                                                                              </w:divBdr>
                                                                              <w:divsChild>
                                                                                <w:div w:id="6592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890045">
      <w:bodyDiv w:val="1"/>
      <w:marLeft w:val="0"/>
      <w:marRight w:val="0"/>
      <w:marTop w:val="0"/>
      <w:marBottom w:val="0"/>
      <w:divBdr>
        <w:top w:val="none" w:sz="0" w:space="0" w:color="auto"/>
        <w:left w:val="none" w:sz="0" w:space="0" w:color="auto"/>
        <w:bottom w:val="none" w:sz="0" w:space="0" w:color="auto"/>
        <w:right w:val="none" w:sz="0" w:space="0" w:color="auto"/>
      </w:divBdr>
      <w:divsChild>
        <w:div w:id="178205390">
          <w:marLeft w:val="0"/>
          <w:marRight w:val="0"/>
          <w:marTop w:val="0"/>
          <w:marBottom w:val="0"/>
          <w:divBdr>
            <w:top w:val="none" w:sz="0" w:space="0" w:color="auto"/>
            <w:left w:val="none" w:sz="0" w:space="0" w:color="auto"/>
            <w:bottom w:val="none" w:sz="0" w:space="0" w:color="auto"/>
            <w:right w:val="none" w:sz="0" w:space="0" w:color="auto"/>
          </w:divBdr>
          <w:divsChild>
            <w:div w:id="342243836">
              <w:marLeft w:val="0"/>
              <w:marRight w:val="0"/>
              <w:marTop w:val="0"/>
              <w:marBottom w:val="0"/>
              <w:divBdr>
                <w:top w:val="none" w:sz="0" w:space="0" w:color="auto"/>
                <w:left w:val="none" w:sz="0" w:space="0" w:color="auto"/>
                <w:bottom w:val="none" w:sz="0" w:space="0" w:color="auto"/>
                <w:right w:val="none" w:sz="0" w:space="0" w:color="auto"/>
              </w:divBdr>
            </w:div>
          </w:divsChild>
        </w:div>
        <w:div w:id="519975969">
          <w:marLeft w:val="0"/>
          <w:marRight w:val="0"/>
          <w:marTop w:val="0"/>
          <w:marBottom w:val="0"/>
          <w:divBdr>
            <w:top w:val="none" w:sz="0" w:space="0" w:color="auto"/>
            <w:left w:val="none" w:sz="0" w:space="0" w:color="auto"/>
            <w:bottom w:val="none" w:sz="0" w:space="0" w:color="auto"/>
            <w:right w:val="none" w:sz="0" w:space="0" w:color="auto"/>
          </w:divBdr>
          <w:divsChild>
            <w:div w:id="937690">
              <w:marLeft w:val="0"/>
              <w:marRight w:val="0"/>
              <w:marTop w:val="0"/>
              <w:marBottom w:val="0"/>
              <w:divBdr>
                <w:top w:val="none" w:sz="0" w:space="0" w:color="auto"/>
                <w:left w:val="none" w:sz="0" w:space="0" w:color="auto"/>
                <w:bottom w:val="none" w:sz="0" w:space="0" w:color="auto"/>
                <w:right w:val="none" w:sz="0" w:space="0" w:color="auto"/>
              </w:divBdr>
            </w:div>
          </w:divsChild>
        </w:div>
        <w:div w:id="727218645">
          <w:marLeft w:val="0"/>
          <w:marRight w:val="0"/>
          <w:marTop w:val="0"/>
          <w:marBottom w:val="0"/>
          <w:divBdr>
            <w:top w:val="none" w:sz="0" w:space="0" w:color="auto"/>
            <w:left w:val="none" w:sz="0" w:space="0" w:color="auto"/>
            <w:bottom w:val="none" w:sz="0" w:space="0" w:color="auto"/>
            <w:right w:val="none" w:sz="0" w:space="0" w:color="auto"/>
          </w:divBdr>
          <w:divsChild>
            <w:div w:id="1800226625">
              <w:marLeft w:val="0"/>
              <w:marRight w:val="0"/>
              <w:marTop w:val="0"/>
              <w:marBottom w:val="0"/>
              <w:divBdr>
                <w:top w:val="none" w:sz="0" w:space="0" w:color="auto"/>
                <w:left w:val="none" w:sz="0" w:space="0" w:color="auto"/>
                <w:bottom w:val="none" w:sz="0" w:space="0" w:color="auto"/>
                <w:right w:val="none" w:sz="0" w:space="0" w:color="auto"/>
              </w:divBdr>
            </w:div>
          </w:divsChild>
        </w:div>
        <w:div w:id="1194229005">
          <w:marLeft w:val="0"/>
          <w:marRight w:val="0"/>
          <w:marTop w:val="0"/>
          <w:marBottom w:val="0"/>
          <w:divBdr>
            <w:top w:val="none" w:sz="0" w:space="0" w:color="auto"/>
            <w:left w:val="none" w:sz="0" w:space="0" w:color="auto"/>
            <w:bottom w:val="none" w:sz="0" w:space="0" w:color="auto"/>
            <w:right w:val="none" w:sz="0" w:space="0" w:color="auto"/>
          </w:divBdr>
          <w:divsChild>
            <w:div w:id="933560779">
              <w:marLeft w:val="0"/>
              <w:marRight w:val="0"/>
              <w:marTop w:val="0"/>
              <w:marBottom w:val="0"/>
              <w:divBdr>
                <w:top w:val="none" w:sz="0" w:space="0" w:color="auto"/>
                <w:left w:val="none" w:sz="0" w:space="0" w:color="auto"/>
                <w:bottom w:val="none" w:sz="0" w:space="0" w:color="auto"/>
                <w:right w:val="none" w:sz="0" w:space="0" w:color="auto"/>
              </w:divBdr>
            </w:div>
          </w:divsChild>
        </w:div>
        <w:div w:id="1368598958">
          <w:marLeft w:val="0"/>
          <w:marRight w:val="0"/>
          <w:marTop w:val="0"/>
          <w:marBottom w:val="0"/>
          <w:divBdr>
            <w:top w:val="none" w:sz="0" w:space="0" w:color="auto"/>
            <w:left w:val="none" w:sz="0" w:space="0" w:color="auto"/>
            <w:bottom w:val="none" w:sz="0" w:space="0" w:color="auto"/>
            <w:right w:val="none" w:sz="0" w:space="0" w:color="auto"/>
          </w:divBdr>
          <w:divsChild>
            <w:div w:id="145127678">
              <w:marLeft w:val="0"/>
              <w:marRight w:val="0"/>
              <w:marTop w:val="0"/>
              <w:marBottom w:val="0"/>
              <w:divBdr>
                <w:top w:val="none" w:sz="0" w:space="0" w:color="auto"/>
                <w:left w:val="none" w:sz="0" w:space="0" w:color="auto"/>
                <w:bottom w:val="none" w:sz="0" w:space="0" w:color="auto"/>
                <w:right w:val="none" w:sz="0" w:space="0" w:color="auto"/>
              </w:divBdr>
            </w:div>
          </w:divsChild>
        </w:div>
        <w:div w:id="1460995803">
          <w:marLeft w:val="0"/>
          <w:marRight w:val="0"/>
          <w:marTop w:val="0"/>
          <w:marBottom w:val="0"/>
          <w:divBdr>
            <w:top w:val="none" w:sz="0" w:space="0" w:color="auto"/>
            <w:left w:val="none" w:sz="0" w:space="0" w:color="auto"/>
            <w:bottom w:val="none" w:sz="0" w:space="0" w:color="auto"/>
            <w:right w:val="none" w:sz="0" w:space="0" w:color="auto"/>
          </w:divBdr>
          <w:divsChild>
            <w:div w:id="8349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8976">
      <w:bodyDiv w:val="1"/>
      <w:marLeft w:val="0"/>
      <w:marRight w:val="0"/>
      <w:marTop w:val="0"/>
      <w:marBottom w:val="0"/>
      <w:divBdr>
        <w:top w:val="none" w:sz="0" w:space="0" w:color="auto"/>
        <w:left w:val="none" w:sz="0" w:space="0" w:color="auto"/>
        <w:bottom w:val="none" w:sz="0" w:space="0" w:color="auto"/>
        <w:right w:val="none" w:sz="0" w:space="0" w:color="auto"/>
      </w:divBdr>
    </w:div>
    <w:div w:id="1716077532">
      <w:bodyDiv w:val="1"/>
      <w:marLeft w:val="0"/>
      <w:marRight w:val="0"/>
      <w:marTop w:val="0"/>
      <w:marBottom w:val="0"/>
      <w:divBdr>
        <w:top w:val="none" w:sz="0" w:space="0" w:color="auto"/>
        <w:left w:val="none" w:sz="0" w:space="0" w:color="auto"/>
        <w:bottom w:val="none" w:sz="0" w:space="0" w:color="auto"/>
        <w:right w:val="none" w:sz="0" w:space="0" w:color="auto"/>
      </w:divBdr>
      <w:divsChild>
        <w:div w:id="763307787">
          <w:marLeft w:val="0"/>
          <w:marRight w:val="0"/>
          <w:marTop w:val="0"/>
          <w:marBottom w:val="0"/>
          <w:divBdr>
            <w:top w:val="none" w:sz="0" w:space="0" w:color="auto"/>
            <w:left w:val="none" w:sz="0" w:space="0" w:color="auto"/>
            <w:bottom w:val="none" w:sz="0" w:space="0" w:color="auto"/>
            <w:right w:val="none" w:sz="0" w:space="0" w:color="auto"/>
          </w:divBdr>
        </w:div>
        <w:div w:id="1913469847">
          <w:marLeft w:val="0"/>
          <w:marRight w:val="0"/>
          <w:marTop w:val="0"/>
          <w:marBottom w:val="0"/>
          <w:divBdr>
            <w:top w:val="none" w:sz="0" w:space="0" w:color="auto"/>
            <w:left w:val="none" w:sz="0" w:space="0" w:color="auto"/>
            <w:bottom w:val="none" w:sz="0" w:space="0" w:color="auto"/>
            <w:right w:val="none" w:sz="0" w:space="0" w:color="auto"/>
          </w:divBdr>
        </w:div>
      </w:divsChild>
    </w:div>
    <w:div w:id="1925650600">
      <w:bodyDiv w:val="1"/>
      <w:marLeft w:val="0"/>
      <w:marRight w:val="0"/>
      <w:marTop w:val="0"/>
      <w:marBottom w:val="0"/>
      <w:divBdr>
        <w:top w:val="none" w:sz="0" w:space="0" w:color="auto"/>
        <w:left w:val="none" w:sz="0" w:space="0" w:color="auto"/>
        <w:bottom w:val="none" w:sz="0" w:space="0" w:color="auto"/>
        <w:right w:val="none" w:sz="0" w:space="0" w:color="auto"/>
      </w:divBdr>
    </w:div>
    <w:div w:id="1991398083">
      <w:bodyDiv w:val="1"/>
      <w:marLeft w:val="0"/>
      <w:marRight w:val="0"/>
      <w:marTop w:val="0"/>
      <w:marBottom w:val="0"/>
      <w:divBdr>
        <w:top w:val="none" w:sz="0" w:space="0" w:color="auto"/>
        <w:left w:val="none" w:sz="0" w:space="0" w:color="auto"/>
        <w:bottom w:val="none" w:sz="0" w:space="0" w:color="auto"/>
        <w:right w:val="none" w:sz="0" w:space="0" w:color="auto"/>
      </w:divBdr>
    </w:div>
    <w:div w:id="2132700317">
      <w:bodyDiv w:val="1"/>
      <w:marLeft w:val="0"/>
      <w:marRight w:val="0"/>
      <w:marTop w:val="0"/>
      <w:marBottom w:val="0"/>
      <w:divBdr>
        <w:top w:val="none" w:sz="0" w:space="0" w:color="auto"/>
        <w:left w:val="none" w:sz="0" w:space="0" w:color="auto"/>
        <w:bottom w:val="none" w:sz="0" w:space="0" w:color="auto"/>
        <w:right w:val="none" w:sz="0" w:space="0" w:color="auto"/>
      </w:divBdr>
      <w:divsChild>
        <w:div w:id="329063572">
          <w:marLeft w:val="0"/>
          <w:marRight w:val="0"/>
          <w:marTop w:val="0"/>
          <w:marBottom w:val="0"/>
          <w:divBdr>
            <w:top w:val="none" w:sz="0" w:space="0" w:color="auto"/>
            <w:left w:val="none" w:sz="0" w:space="0" w:color="auto"/>
            <w:bottom w:val="none" w:sz="0" w:space="0" w:color="auto"/>
            <w:right w:val="none" w:sz="0" w:space="0" w:color="auto"/>
          </w:divBdr>
          <w:divsChild>
            <w:div w:id="1573808503">
              <w:marLeft w:val="0"/>
              <w:marRight w:val="0"/>
              <w:marTop w:val="0"/>
              <w:marBottom w:val="0"/>
              <w:divBdr>
                <w:top w:val="none" w:sz="0" w:space="0" w:color="auto"/>
                <w:left w:val="none" w:sz="0" w:space="0" w:color="auto"/>
                <w:bottom w:val="none" w:sz="0" w:space="0" w:color="auto"/>
                <w:right w:val="none" w:sz="0" w:space="0" w:color="auto"/>
              </w:divBdr>
            </w:div>
          </w:divsChild>
        </w:div>
        <w:div w:id="339433883">
          <w:marLeft w:val="0"/>
          <w:marRight w:val="0"/>
          <w:marTop w:val="0"/>
          <w:marBottom w:val="0"/>
          <w:divBdr>
            <w:top w:val="none" w:sz="0" w:space="0" w:color="auto"/>
            <w:left w:val="none" w:sz="0" w:space="0" w:color="auto"/>
            <w:bottom w:val="none" w:sz="0" w:space="0" w:color="auto"/>
            <w:right w:val="none" w:sz="0" w:space="0" w:color="auto"/>
          </w:divBdr>
          <w:divsChild>
            <w:div w:id="1607420003">
              <w:marLeft w:val="0"/>
              <w:marRight w:val="0"/>
              <w:marTop w:val="0"/>
              <w:marBottom w:val="0"/>
              <w:divBdr>
                <w:top w:val="none" w:sz="0" w:space="0" w:color="auto"/>
                <w:left w:val="none" w:sz="0" w:space="0" w:color="auto"/>
                <w:bottom w:val="none" w:sz="0" w:space="0" w:color="auto"/>
                <w:right w:val="none" w:sz="0" w:space="0" w:color="auto"/>
              </w:divBdr>
            </w:div>
          </w:divsChild>
        </w:div>
        <w:div w:id="347755354">
          <w:marLeft w:val="0"/>
          <w:marRight w:val="0"/>
          <w:marTop w:val="0"/>
          <w:marBottom w:val="0"/>
          <w:divBdr>
            <w:top w:val="none" w:sz="0" w:space="0" w:color="auto"/>
            <w:left w:val="none" w:sz="0" w:space="0" w:color="auto"/>
            <w:bottom w:val="none" w:sz="0" w:space="0" w:color="auto"/>
            <w:right w:val="none" w:sz="0" w:space="0" w:color="auto"/>
          </w:divBdr>
          <w:divsChild>
            <w:div w:id="736590447">
              <w:marLeft w:val="0"/>
              <w:marRight w:val="0"/>
              <w:marTop w:val="0"/>
              <w:marBottom w:val="0"/>
              <w:divBdr>
                <w:top w:val="none" w:sz="0" w:space="0" w:color="auto"/>
                <w:left w:val="none" w:sz="0" w:space="0" w:color="auto"/>
                <w:bottom w:val="none" w:sz="0" w:space="0" w:color="auto"/>
                <w:right w:val="none" w:sz="0" w:space="0" w:color="auto"/>
              </w:divBdr>
            </w:div>
          </w:divsChild>
        </w:div>
        <w:div w:id="372578501">
          <w:marLeft w:val="0"/>
          <w:marRight w:val="0"/>
          <w:marTop w:val="0"/>
          <w:marBottom w:val="0"/>
          <w:divBdr>
            <w:top w:val="none" w:sz="0" w:space="0" w:color="auto"/>
            <w:left w:val="none" w:sz="0" w:space="0" w:color="auto"/>
            <w:bottom w:val="none" w:sz="0" w:space="0" w:color="auto"/>
            <w:right w:val="none" w:sz="0" w:space="0" w:color="auto"/>
          </w:divBdr>
          <w:divsChild>
            <w:div w:id="580070290">
              <w:marLeft w:val="0"/>
              <w:marRight w:val="0"/>
              <w:marTop w:val="0"/>
              <w:marBottom w:val="0"/>
              <w:divBdr>
                <w:top w:val="none" w:sz="0" w:space="0" w:color="auto"/>
                <w:left w:val="none" w:sz="0" w:space="0" w:color="auto"/>
                <w:bottom w:val="none" w:sz="0" w:space="0" w:color="auto"/>
                <w:right w:val="none" w:sz="0" w:space="0" w:color="auto"/>
              </w:divBdr>
            </w:div>
          </w:divsChild>
        </w:div>
        <w:div w:id="460465009">
          <w:marLeft w:val="0"/>
          <w:marRight w:val="0"/>
          <w:marTop w:val="0"/>
          <w:marBottom w:val="0"/>
          <w:divBdr>
            <w:top w:val="none" w:sz="0" w:space="0" w:color="auto"/>
            <w:left w:val="none" w:sz="0" w:space="0" w:color="auto"/>
            <w:bottom w:val="none" w:sz="0" w:space="0" w:color="auto"/>
            <w:right w:val="none" w:sz="0" w:space="0" w:color="auto"/>
          </w:divBdr>
          <w:divsChild>
            <w:div w:id="1217205060">
              <w:marLeft w:val="0"/>
              <w:marRight w:val="0"/>
              <w:marTop w:val="0"/>
              <w:marBottom w:val="0"/>
              <w:divBdr>
                <w:top w:val="none" w:sz="0" w:space="0" w:color="auto"/>
                <w:left w:val="none" w:sz="0" w:space="0" w:color="auto"/>
                <w:bottom w:val="none" w:sz="0" w:space="0" w:color="auto"/>
                <w:right w:val="none" w:sz="0" w:space="0" w:color="auto"/>
              </w:divBdr>
            </w:div>
          </w:divsChild>
        </w:div>
        <w:div w:id="461384763">
          <w:marLeft w:val="0"/>
          <w:marRight w:val="0"/>
          <w:marTop w:val="0"/>
          <w:marBottom w:val="0"/>
          <w:divBdr>
            <w:top w:val="none" w:sz="0" w:space="0" w:color="auto"/>
            <w:left w:val="none" w:sz="0" w:space="0" w:color="auto"/>
            <w:bottom w:val="none" w:sz="0" w:space="0" w:color="auto"/>
            <w:right w:val="none" w:sz="0" w:space="0" w:color="auto"/>
          </w:divBdr>
          <w:divsChild>
            <w:div w:id="1600913685">
              <w:marLeft w:val="0"/>
              <w:marRight w:val="0"/>
              <w:marTop w:val="0"/>
              <w:marBottom w:val="0"/>
              <w:divBdr>
                <w:top w:val="none" w:sz="0" w:space="0" w:color="auto"/>
                <w:left w:val="none" w:sz="0" w:space="0" w:color="auto"/>
                <w:bottom w:val="none" w:sz="0" w:space="0" w:color="auto"/>
                <w:right w:val="none" w:sz="0" w:space="0" w:color="auto"/>
              </w:divBdr>
            </w:div>
          </w:divsChild>
        </w:div>
        <w:div w:id="571697592">
          <w:marLeft w:val="0"/>
          <w:marRight w:val="0"/>
          <w:marTop w:val="0"/>
          <w:marBottom w:val="0"/>
          <w:divBdr>
            <w:top w:val="none" w:sz="0" w:space="0" w:color="auto"/>
            <w:left w:val="none" w:sz="0" w:space="0" w:color="auto"/>
            <w:bottom w:val="none" w:sz="0" w:space="0" w:color="auto"/>
            <w:right w:val="none" w:sz="0" w:space="0" w:color="auto"/>
          </w:divBdr>
          <w:divsChild>
            <w:div w:id="934828953">
              <w:marLeft w:val="0"/>
              <w:marRight w:val="0"/>
              <w:marTop w:val="0"/>
              <w:marBottom w:val="0"/>
              <w:divBdr>
                <w:top w:val="none" w:sz="0" w:space="0" w:color="auto"/>
                <w:left w:val="none" w:sz="0" w:space="0" w:color="auto"/>
                <w:bottom w:val="none" w:sz="0" w:space="0" w:color="auto"/>
                <w:right w:val="none" w:sz="0" w:space="0" w:color="auto"/>
              </w:divBdr>
            </w:div>
          </w:divsChild>
        </w:div>
        <w:div w:id="640160662">
          <w:marLeft w:val="0"/>
          <w:marRight w:val="0"/>
          <w:marTop w:val="0"/>
          <w:marBottom w:val="0"/>
          <w:divBdr>
            <w:top w:val="none" w:sz="0" w:space="0" w:color="auto"/>
            <w:left w:val="none" w:sz="0" w:space="0" w:color="auto"/>
            <w:bottom w:val="none" w:sz="0" w:space="0" w:color="auto"/>
            <w:right w:val="none" w:sz="0" w:space="0" w:color="auto"/>
          </w:divBdr>
          <w:divsChild>
            <w:div w:id="1826433962">
              <w:marLeft w:val="0"/>
              <w:marRight w:val="0"/>
              <w:marTop w:val="0"/>
              <w:marBottom w:val="0"/>
              <w:divBdr>
                <w:top w:val="none" w:sz="0" w:space="0" w:color="auto"/>
                <w:left w:val="none" w:sz="0" w:space="0" w:color="auto"/>
                <w:bottom w:val="none" w:sz="0" w:space="0" w:color="auto"/>
                <w:right w:val="none" w:sz="0" w:space="0" w:color="auto"/>
              </w:divBdr>
            </w:div>
          </w:divsChild>
        </w:div>
        <w:div w:id="643974298">
          <w:marLeft w:val="0"/>
          <w:marRight w:val="0"/>
          <w:marTop w:val="0"/>
          <w:marBottom w:val="0"/>
          <w:divBdr>
            <w:top w:val="none" w:sz="0" w:space="0" w:color="auto"/>
            <w:left w:val="none" w:sz="0" w:space="0" w:color="auto"/>
            <w:bottom w:val="none" w:sz="0" w:space="0" w:color="auto"/>
            <w:right w:val="none" w:sz="0" w:space="0" w:color="auto"/>
          </w:divBdr>
          <w:divsChild>
            <w:div w:id="640622315">
              <w:marLeft w:val="0"/>
              <w:marRight w:val="0"/>
              <w:marTop w:val="0"/>
              <w:marBottom w:val="0"/>
              <w:divBdr>
                <w:top w:val="none" w:sz="0" w:space="0" w:color="auto"/>
                <w:left w:val="none" w:sz="0" w:space="0" w:color="auto"/>
                <w:bottom w:val="none" w:sz="0" w:space="0" w:color="auto"/>
                <w:right w:val="none" w:sz="0" w:space="0" w:color="auto"/>
              </w:divBdr>
            </w:div>
          </w:divsChild>
        </w:div>
        <w:div w:id="649287186">
          <w:marLeft w:val="0"/>
          <w:marRight w:val="0"/>
          <w:marTop w:val="0"/>
          <w:marBottom w:val="0"/>
          <w:divBdr>
            <w:top w:val="none" w:sz="0" w:space="0" w:color="auto"/>
            <w:left w:val="none" w:sz="0" w:space="0" w:color="auto"/>
            <w:bottom w:val="none" w:sz="0" w:space="0" w:color="auto"/>
            <w:right w:val="none" w:sz="0" w:space="0" w:color="auto"/>
          </w:divBdr>
          <w:divsChild>
            <w:div w:id="1738627119">
              <w:marLeft w:val="0"/>
              <w:marRight w:val="0"/>
              <w:marTop w:val="0"/>
              <w:marBottom w:val="0"/>
              <w:divBdr>
                <w:top w:val="none" w:sz="0" w:space="0" w:color="auto"/>
                <w:left w:val="none" w:sz="0" w:space="0" w:color="auto"/>
                <w:bottom w:val="none" w:sz="0" w:space="0" w:color="auto"/>
                <w:right w:val="none" w:sz="0" w:space="0" w:color="auto"/>
              </w:divBdr>
            </w:div>
          </w:divsChild>
        </w:div>
        <w:div w:id="746807312">
          <w:marLeft w:val="0"/>
          <w:marRight w:val="0"/>
          <w:marTop w:val="0"/>
          <w:marBottom w:val="0"/>
          <w:divBdr>
            <w:top w:val="none" w:sz="0" w:space="0" w:color="auto"/>
            <w:left w:val="none" w:sz="0" w:space="0" w:color="auto"/>
            <w:bottom w:val="none" w:sz="0" w:space="0" w:color="auto"/>
            <w:right w:val="none" w:sz="0" w:space="0" w:color="auto"/>
          </w:divBdr>
          <w:divsChild>
            <w:div w:id="634797091">
              <w:marLeft w:val="0"/>
              <w:marRight w:val="0"/>
              <w:marTop w:val="0"/>
              <w:marBottom w:val="0"/>
              <w:divBdr>
                <w:top w:val="none" w:sz="0" w:space="0" w:color="auto"/>
                <w:left w:val="none" w:sz="0" w:space="0" w:color="auto"/>
                <w:bottom w:val="none" w:sz="0" w:space="0" w:color="auto"/>
                <w:right w:val="none" w:sz="0" w:space="0" w:color="auto"/>
              </w:divBdr>
            </w:div>
          </w:divsChild>
        </w:div>
        <w:div w:id="808859571">
          <w:marLeft w:val="0"/>
          <w:marRight w:val="0"/>
          <w:marTop w:val="0"/>
          <w:marBottom w:val="0"/>
          <w:divBdr>
            <w:top w:val="none" w:sz="0" w:space="0" w:color="auto"/>
            <w:left w:val="none" w:sz="0" w:space="0" w:color="auto"/>
            <w:bottom w:val="none" w:sz="0" w:space="0" w:color="auto"/>
            <w:right w:val="none" w:sz="0" w:space="0" w:color="auto"/>
          </w:divBdr>
          <w:divsChild>
            <w:div w:id="2031176307">
              <w:marLeft w:val="0"/>
              <w:marRight w:val="0"/>
              <w:marTop w:val="0"/>
              <w:marBottom w:val="0"/>
              <w:divBdr>
                <w:top w:val="none" w:sz="0" w:space="0" w:color="auto"/>
                <w:left w:val="none" w:sz="0" w:space="0" w:color="auto"/>
                <w:bottom w:val="none" w:sz="0" w:space="0" w:color="auto"/>
                <w:right w:val="none" w:sz="0" w:space="0" w:color="auto"/>
              </w:divBdr>
            </w:div>
          </w:divsChild>
        </w:div>
        <w:div w:id="819732555">
          <w:marLeft w:val="0"/>
          <w:marRight w:val="0"/>
          <w:marTop w:val="0"/>
          <w:marBottom w:val="0"/>
          <w:divBdr>
            <w:top w:val="none" w:sz="0" w:space="0" w:color="auto"/>
            <w:left w:val="none" w:sz="0" w:space="0" w:color="auto"/>
            <w:bottom w:val="none" w:sz="0" w:space="0" w:color="auto"/>
            <w:right w:val="none" w:sz="0" w:space="0" w:color="auto"/>
          </w:divBdr>
          <w:divsChild>
            <w:div w:id="2136099172">
              <w:marLeft w:val="0"/>
              <w:marRight w:val="0"/>
              <w:marTop w:val="0"/>
              <w:marBottom w:val="0"/>
              <w:divBdr>
                <w:top w:val="none" w:sz="0" w:space="0" w:color="auto"/>
                <w:left w:val="none" w:sz="0" w:space="0" w:color="auto"/>
                <w:bottom w:val="none" w:sz="0" w:space="0" w:color="auto"/>
                <w:right w:val="none" w:sz="0" w:space="0" w:color="auto"/>
              </w:divBdr>
            </w:div>
          </w:divsChild>
        </w:div>
        <w:div w:id="1017274987">
          <w:marLeft w:val="0"/>
          <w:marRight w:val="0"/>
          <w:marTop w:val="0"/>
          <w:marBottom w:val="0"/>
          <w:divBdr>
            <w:top w:val="none" w:sz="0" w:space="0" w:color="auto"/>
            <w:left w:val="none" w:sz="0" w:space="0" w:color="auto"/>
            <w:bottom w:val="none" w:sz="0" w:space="0" w:color="auto"/>
            <w:right w:val="none" w:sz="0" w:space="0" w:color="auto"/>
          </w:divBdr>
          <w:divsChild>
            <w:div w:id="1044865753">
              <w:marLeft w:val="0"/>
              <w:marRight w:val="0"/>
              <w:marTop w:val="0"/>
              <w:marBottom w:val="0"/>
              <w:divBdr>
                <w:top w:val="none" w:sz="0" w:space="0" w:color="auto"/>
                <w:left w:val="none" w:sz="0" w:space="0" w:color="auto"/>
                <w:bottom w:val="none" w:sz="0" w:space="0" w:color="auto"/>
                <w:right w:val="none" w:sz="0" w:space="0" w:color="auto"/>
              </w:divBdr>
            </w:div>
          </w:divsChild>
        </w:div>
        <w:div w:id="1105686844">
          <w:marLeft w:val="0"/>
          <w:marRight w:val="0"/>
          <w:marTop w:val="0"/>
          <w:marBottom w:val="0"/>
          <w:divBdr>
            <w:top w:val="none" w:sz="0" w:space="0" w:color="auto"/>
            <w:left w:val="none" w:sz="0" w:space="0" w:color="auto"/>
            <w:bottom w:val="none" w:sz="0" w:space="0" w:color="auto"/>
            <w:right w:val="none" w:sz="0" w:space="0" w:color="auto"/>
          </w:divBdr>
          <w:divsChild>
            <w:div w:id="1632249507">
              <w:marLeft w:val="0"/>
              <w:marRight w:val="0"/>
              <w:marTop w:val="0"/>
              <w:marBottom w:val="0"/>
              <w:divBdr>
                <w:top w:val="none" w:sz="0" w:space="0" w:color="auto"/>
                <w:left w:val="none" w:sz="0" w:space="0" w:color="auto"/>
                <w:bottom w:val="none" w:sz="0" w:space="0" w:color="auto"/>
                <w:right w:val="none" w:sz="0" w:space="0" w:color="auto"/>
              </w:divBdr>
            </w:div>
          </w:divsChild>
        </w:div>
        <w:div w:id="1131511514">
          <w:marLeft w:val="0"/>
          <w:marRight w:val="0"/>
          <w:marTop w:val="0"/>
          <w:marBottom w:val="0"/>
          <w:divBdr>
            <w:top w:val="none" w:sz="0" w:space="0" w:color="auto"/>
            <w:left w:val="none" w:sz="0" w:space="0" w:color="auto"/>
            <w:bottom w:val="none" w:sz="0" w:space="0" w:color="auto"/>
            <w:right w:val="none" w:sz="0" w:space="0" w:color="auto"/>
          </w:divBdr>
          <w:divsChild>
            <w:div w:id="1852179668">
              <w:marLeft w:val="0"/>
              <w:marRight w:val="0"/>
              <w:marTop w:val="0"/>
              <w:marBottom w:val="0"/>
              <w:divBdr>
                <w:top w:val="none" w:sz="0" w:space="0" w:color="auto"/>
                <w:left w:val="none" w:sz="0" w:space="0" w:color="auto"/>
                <w:bottom w:val="none" w:sz="0" w:space="0" w:color="auto"/>
                <w:right w:val="none" w:sz="0" w:space="0" w:color="auto"/>
              </w:divBdr>
            </w:div>
          </w:divsChild>
        </w:div>
        <w:div w:id="1268197792">
          <w:marLeft w:val="0"/>
          <w:marRight w:val="0"/>
          <w:marTop w:val="0"/>
          <w:marBottom w:val="0"/>
          <w:divBdr>
            <w:top w:val="none" w:sz="0" w:space="0" w:color="auto"/>
            <w:left w:val="none" w:sz="0" w:space="0" w:color="auto"/>
            <w:bottom w:val="none" w:sz="0" w:space="0" w:color="auto"/>
            <w:right w:val="none" w:sz="0" w:space="0" w:color="auto"/>
          </w:divBdr>
          <w:divsChild>
            <w:div w:id="1487091728">
              <w:marLeft w:val="0"/>
              <w:marRight w:val="0"/>
              <w:marTop w:val="0"/>
              <w:marBottom w:val="0"/>
              <w:divBdr>
                <w:top w:val="none" w:sz="0" w:space="0" w:color="auto"/>
                <w:left w:val="none" w:sz="0" w:space="0" w:color="auto"/>
                <w:bottom w:val="none" w:sz="0" w:space="0" w:color="auto"/>
                <w:right w:val="none" w:sz="0" w:space="0" w:color="auto"/>
              </w:divBdr>
            </w:div>
          </w:divsChild>
        </w:div>
        <w:div w:id="1419593654">
          <w:marLeft w:val="0"/>
          <w:marRight w:val="0"/>
          <w:marTop w:val="0"/>
          <w:marBottom w:val="0"/>
          <w:divBdr>
            <w:top w:val="none" w:sz="0" w:space="0" w:color="auto"/>
            <w:left w:val="none" w:sz="0" w:space="0" w:color="auto"/>
            <w:bottom w:val="none" w:sz="0" w:space="0" w:color="auto"/>
            <w:right w:val="none" w:sz="0" w:space="0" w:color="auto"/>
          </w:divBdr>
          <w:divsChild>
            <w:div w:id="1920015998">
              <w:marLeft w:val="0"/>
              <w:marRight w:val="0"/>
              <w:marTop w:val="0"/>
              <w:marBottom w:val="0"/>
              <w:divBdr>
                <w:top w:val="none" w:sz="0" w:space="0" w:color="auto"/>
                <w:left w:val="none" w:sz="0" w:space="0" w:color="auto"/>
                <w:bottom w:val="none" w:sz="0" w:space="0" w:color="auto"/>
                <w:right w:val="none" w:sz="0" w:space="0" w:color="auto"/>
              </w:divBdr>
            </w:div>
          </w:divsChild>
        </w:div>
        <w:div w:id="1569220439">
          <w:marLeft w:val="0"/>
          <w:marRight w:val="0"/>
          <w:marTop w:val="0"/>
          <w:marBottom w:val="0"/>
          <w:divBdr>
            <w:top w:val="none" w:sz="0" w:space="0" w:color="auto"/>
            <w:left w:val="none" w:sz="0" w:space="0" w:color="auto"/>
            <w:bottom w:val="none" w:sz="0" w:space="0" w:color="auto"/>
            <w:right w:val="none" w:sz="0" w:space="0" w:color="auto"/>
          </w:divBdr>
          <w:divsChild>
            <w:div w:id="23361563">
              <w:marLeft w:val="0"/>
              <w:marRight w:val="0"/>
              <w:marTop w:val="0"/>
              <w:marBottom w:val="0"/>
              <w:divBdr>
                <w:top w:val="none" w:sz="0" w:space="0" w:color="auto"/>
                <w:left w:val="none" w:sz="0" w:space="0" w:color="auto"/>
                <w:bottom w:val="none" w:sz="0" w:space="0" w:color="auto"/>
                <w:right w:val="none" w:sz="0" w:space="0" w:color="auto"/>
              </w:divBdr>
            </w:div>
          </w:divsChild>
        </w:div>
        <w:div w:id="1577132109">
          <w:marLeft w:val="0"/>
          <w:marRight w:val="0"/>
          <w:marTop w:val="0"/>
          <w:marBottom w:val="0"/>
          <w:divBdr>
            <w:top w:val="none" w:sz="0" w:space="0" w:color="auto"/>
            <w:left w:val="none" w:sz="0" w:space="0" w:color="auto"/>
            <w:bottom w:val="none" w:sz="0" w:space="0" w:color="auto"/>
            <w:right w:val="none" w:sz="0" w:space="0" w:color="auto"/>
          </w:divBdr>
          <w:divsChild>
            <w:div w:id="915365070">
              <w:marLeft w:val="0"/>
              <w:marRight w:val="0"/>
              <w:marTop w:val="0"/>
              <w:marBottom w:val="0"/>
              <w:divBdr>
                <w:top w:val="none" w:sz="0" w:space="0" w:color="auto"/>
                <w:left w:val="none" w:sz="0" w:space="0" w:color="auto"/>
                <w:bottom w:val="none" w:sz="0" w:space="0" w:color="auto"/>
                <w:right w:val="none" w:sz="0" w:space="0" w:color="auto"/>
              </w:divBdr>
            </w:div>
          </w:divsChild>
        </w:div>
        <w:div w:id="1741832774">
          <w:marLeft w:val="0"/>
          <w:marRight w:val="0"/>
          <w:marTop w:val="0"/>
          <w:marBottom w:val="0"/>
          <w:divBdr>
            <w:top w:val="none" w:sz="0" w:space="0" w:color="auto"/>
            <w:left w:val="none" w:sz="0" w:space="0" w:color="auto"/>
            <w:bottom w:val="none" w:sz="0" w:space="0" w:color="auto"/>
            <w:right w:val="none" w:sz="0" w:space="0" w:color="auto"/>
          </w:divBdr>
          <w:divsChild>
            <w:div w:id="1054549014">
              <w:marLeft w:val="0"/>
              <w:marRight w:val="0"/>
              <w:marTop w:val="0"/>
              <w:marBottom w:val="0"/>
              <w:divBdr>
                <w:top w:val="none" w:sz="0" w:space="0" w:color="auto"/>
                <w:left w:val="none" w:sz="0" w:space="0" w:color="auto"/>
                <w:bottom w:val="none" w:sz="0" w:space="0" w:color="auto"/>
                <w:right w:val="none" w:sz="0" w:space="0" w:color="auto"/>
              </w:divBdr>
            </w:div>
          </w:divsChild>
        </w:div>
        <w:div w:id="1747529699">
          <w:marLeft w:val="0"/>
          <w:marRight w:val="0"/>
          <w:marTop w:val="0"/>
          <w:marBottom w:val="0"/>
          <w:divBdr>
            <w:top w:val="none" w:sz="0" w:space="0" w:color="auto"/>
            <w:left w:val="none" w:sz="0" w:space="0" w:color="auto"/>
            <w:bottom w:val="none" w:sz="0" w:space="0" w:color="auto"/>
            <w:right w:val="none" w:sz="0" w:space="0" w:color="auto"/>
          </w:divBdr>
          <w:divsChild>
            <w:div w:id="856232327">
              <w:marLeft w:val="0"/>
              <w:marRight w:val="0"/>
              <w:marTop w:val="0"/>
              <w:marBottom w:val="0"/>
              <w:divBdr>
                <w:top w:val="none" w:sz="0" w:space="0" w:color="auto"/>
                <w:left w:val="none" w:sz="0" w:space="0" w:color="auto"/>
                <w:bottom w:val="none" w:sz="0" w:space="0" w:color="auto"/>
                <w:right w:val="none" w:sz="0" w:space="0" w:color="auto"/>
              </w:divBdr>
            </w:div>
          </w:divsChild>
        </w:div>
        <w:div w:id="1768844747">
          <w:marLeft w:val="0"/>
          <w:marRight w:val="0"/>
          <w:marTop w:val="0"/>
          <w:marBottom w:val="0"/>
          <w:divBdr>
            <w:top w:val="none" w:sz="0" w:space="0" w:color="auto"/>
            <w:left w:val="none" w:sz="0" w:space="0" w:color="auto"/>
            <w:bottom w:val="none" w:sz="0" w:space="0" w:color="auto"/>
            <w:right w:val="none" w:sz="0" w:space="0" w:color="auto"/>
          </w:divBdr>
          <w:divsChild>
            <w:div w:id="2093966539">
              <w:marLeft w:val="0"/>
              <w:marRight w:val="0"/>
              <w:marTop w:val="0"/>
              <w:marBottom w:val="0"/>
              <w:divBdr>
                <w:top w:val="none" w:sz="0" w:space="0" w:color="auto"/>
                <w:left w:val="none" w:sz="0" w:space="0" w:color="auto"/>
                <w:bottom w:val="none" w:sz="0" w:space="0" w:color="auto"/>
                <w:right w:val="none" w:sz="0" w:space="0" w:color="auto"/>
              </w:divBdr>
            </w:div>
          </w:divsChild>
        </w:div>
        <w:div w:id="1947034264">
          <w:marLeft w:val="0"/>
          <w:marRight w:val="0"/>
          <w:marTop w:val="0"/>
          <w:marBottom w:val="0"/>
          <w:divBdr>
            <w:top w:val="none" w:sz="0" w:space="0" w:color="auto"/>
            <w:left w:val="none" w:sz="0" w:space="0" w:color="auto"/>
            <w:bottom w:val="none" w:sz="0" w:space="0" w:color="auto"/>
            <w:right w:val="none" w:sz="0" w:space="0" w:color="auto"/>
          </w:divBdr>
          <w:divsChild>
            <w:div w:id="1114132609">
              <w:marLeft w:val="0"/>
              <w:marRight w:val="0"/>
              <w:marTop w:val="0"/>
              <w:marBottom w:val="0"/>
              <w:divBdr>
                <w:top w:val="none" w:sz="0" w:space="0" w:color="auto"/>
                <w:left w:val="none" w:sz="0" w:space="0" w:color="auto"/>
                <w:bottom w:val="none" w:sz="0" w:space="0" w:color="auto"/>
                <w:right w:val="none" w:sz="0" w:space="0" w:color="auto"/>
              </w:divBdr>
            </w:div>
          </w:divsChild>
        </w:div>
        <w:div w:id="1955012853">
          <w:marLeft w:val="0"/>
          <w:marRight w:val="0"/>
          <w:marTop w:val="0"/>
          <w:marBottom w:val="0"/>
          <w:divBdr>
            <w:top w:val="none" w:sz="0" w:space="0" w:color="auto"/>
            <w:left w:val="none" w:sz="0" w:space="0" w:color="auto"/>
            <w:bottom w:val="none" w:sz="0" w:space="0" w:color="auto"/>
            <w:right w:val="none" w:sz="0" w:space="0" w:color="auto"/>
          </w:divBdr>
          <w:divsChild>
            <w:div w:id="908343917">
              <w:marLeft w:val="0"/>
              <w:marRight w:val="0"/>
              <w:marTop w:val="0"/>
              <w:marBottom w:val="0"/>
              <w:divBdr>
                <w:top w:val="none" w:sz="0" w:space="0" w:color="auto"/>
                <w:left w:val="none" w:sz="0" w:space="0" w:color="auto"/>
                <w:bottom w:val="none" w:sz="0" w:space="0" w:color="auto"/>
                <w:right w:val="none" w:sz="0" w:space="0" w:color="auto"/>
              </w:divBdr>
            </w:div>
          </w:divsChild>
        </w:div>
        <w:div w:id="2049790746">
          <w:marLeft w:val="0"/>
          <w:marRight w:val="0"/>
          <w:marTop w:val="0"/>
          <w:marBottom w:val="0"/>
          <w:divBdr>
            <w:top w:val="none" w:sz="0" w:space="0" w:color="auto"/>
            <w:left w:val="none" w:sz="0" w:space="0" w:color="auto"/>
            <w:bottom w:val="none" w:sz="0" w:space="0" w:color="auto"/>
            <w:right w:val="none" w:sz="0" w:space="0" w:color="auto"/>
          </w:divBdr>
          <w:divsChild>
            <w:div w:id="598292680">
              <w:marLeft w:val="0"/>
              <w:marRight w:val="0"/>
              <w:marTop w:val="0"/>
              <w:marBottom w:val="0"/>
              <w:divBdr>
                <w:top w:val="none" w:sz="0" w:space="0" w:color="auto"/>
                <w:left w:val="none" w:sz="0" w:space="0" w:color="auto"/>
                <w:bottom w:val="none" w:sz="0" w:space="0" w:color="auto"/>
                <w:right w:val="none" w:sz="0" w:space="0" w:color="auto"/>
              </w:divBdr>
            </w:div>
          </w:divsChild>
        </w:div>
        <w:div w:id="2072995229">
          <w:marLeft w:val="0"/>
          <w:marRight w:val="0"/>
          <w:marTop w:val="0"/>
          <w:marBottom w:val="0"/>
          <w:divBdr>
            <w:top w:val="none" w:sz="0" w:space="0" w:color="auto"/>
            <w:left w:val="none" w:sz="0" w:space="0" w:color="auto"/>
            <w:bottom w:val="none" w:sz="0" w:space="0" w:color="auto"/>
            <w:right w:val="none" w:sz="0" w:space="0" w:color="auto"/>
          </w:divBdr>
          <w:divsChild>
            <w:div w:id="28049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statutes.capitol.texas.gov/Docs/HS/htm/HS.161.htm" TargetMode="External"/><Relationship Id="rId26" Type="http://schemas.openxmlformats.org/officeDocument/2006/relationships/hyperlink" Target="https://statutes.capitol.texas.gov/Docs/ED/htm/ED.38.htm" TargetMode="Externa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5" Type="http://schemas.openxmlformats.org/officeDocument/2006/relationships/hyperlink" Target="https://statutes.capitol.texas.gov/Docs/HS/htm/HS.161.htm" TargetMode="External"/><Relationship Id="rId2" Type="http://schemas.openxmlformats.org/officeDocument/2006/relationships/customXml" Target="../customXml/item2.xml"/><Relationship Id="rId16" Type="http://schemas.openxmlformats.org/officeDocument/2006/relationships/hyperlink" Target="https://statutes.capitol.texas.gov/Docs/HS/htm/HS.161.htm" TargetMode="External"/><Relationship Id="rId20" Type="http://schemas.openxmlformats.org/officeDocument/2006/relationships/hyperlink" Target="https://statutes.capitol.texas.gov/Docs/HS/htm/HS.161.htm" TargetMode="External"/><Relationship Id="rId29" Type="http://schemas.openxmlformats.org/officeDocument/2006/relationships/hyperlink" Target="https://statutes.capitol.texas.gov/Docs/HS/htm/HS.161.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immunizetexasorderform.com"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statutes.capitol.texas.gov/Docs/HS/htm/HS.161.htm" TargetMode="External"/><Relationship Id="rId23" Type="http://schemas.openxmlformats.org/officeDocument/2006/relationships/chart" Target="charts/chart3.xml"/><Relationship Id="rId28" Type="http://schemas.openxmlformats.org/officeDocument/2006/relationships/hyperlink" Target="https://statutes.capitol.texas.gov/Docs/HS/htm/HS.161.htm" TargetMode="External"/><Relationship Id="rId10" Type="http://schemas.openxmlformats.org/officeDocument/2006/relationships/footnotes" Target="footnotes.xml"/><Relationship Id="rId19" Type="http://schemas.openxmlformats.org/officeDocument/2006/relationships/hyperlink" Target="https://statutes.capitol.texas.gov/Docs/HS/htm/HS.161.htm" TargetMode="External"/><Relationship Id="rId31" Type="http://schemas.openxmlformats.org/officeDocument/2006/relationships/fontTable" Target="fontTable.xml"/><Relationship Id="rId52"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chart" Target="charts/chart2.xml"/><Relationship Id="rId27" Type="http://schemas.openxmlformats.org/officeDocument/2006/relationships/chart" Target="charts/chart4.xml"/><Relationship Id="rId30" Type="http://schemas.openxmlformats.org/officeDocument/2006/relationships/footer" Target="footer4.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8" Type="http://schemas.openxmlformats.org/officeDocument/2006/relationships/hyperlink" Target="http://www.dshs.texas.gov/immunize/lhd.shtm" TargetMode="External"/><Relationship Id="rId3" Type="http://schemas.openxmlformats.org/officeDocument/2006/relationships/hyperlink" Target="http://www.dshs.texas.gov/immunize/immtrac/default.shtm" TargetMode="External"/><Relationship Id="rId7" Type="http://schemas.openxmlformats.org/officeDocument/2006/relationships/hyperlink" Target="http://www.dshs.texas.gov/immunize/lhd.shtm" TargetMode="External"/><Relationship Id="rId2" Type="http://schemas.openxmlformats.org/officeDocument/2006/relationships/hyperlink" Target="http://www.dshs.texas.gov/immunize/ASN/" TargetMode="External"/><Relationship Id="rId1" Type="http://schemas.openxmlformats.org/officeDocument/2006/relationships/hyperlink" Target="http://www.dshs.texas.gov/immunize/tvfc/" TargetMode="External"/><Relationship Id="rId6" Type="http://schemas.openxmlformats.org/officeDocument/2006/relationships/hyperlink" Target="http://www.immunizeusa.org/" TargetMode="External"/><Relationship Id="rId5" Type="http://schemas.openxmlformats.org/officeDocument/2006/relationships/hyperlink" Target="http://dshs.texas.gov/immunize/partners/tiswg.shtm" TargetMode="External"/><Relationship Id="rId10" Type="http://schemas.openxmlformats.org/officeDocument/2006/relationships/hyperlink" Target="https://capitol.texas.gov/tlodocs/84R/billtext/html/HB02171F.htm" TargetMode="External"/><Relationship Id="rId4" Type="http://schemas.openxmlformats.org/officeDocument/2006/relationships/hyperlink" Target="https://www.cdc.gov/vaccines/schedules/easy-to-read/child.html" TargetMode="External"/><Relationship Id="rId9" Type="http://schemas.openxmlformats.org/officeDocument/2006/relationships/hyperlink" Target="http://www.hl7.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hill683\AppData\Local\Microsoft\Windows\INetCache\Content.Outlook\T45IU4N5\HHS_DSHS%20Template%20for%20Reports.dotx"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barChart>
        <c:barDir val="col"/>
        <c:grouping val="clustered"/>
        <c:varyColors val="0"/>
        <c:ser>
          <c:idx val="0"/>
          <c:order val="0"/>
          <c:spPr>
            <a:solidFill>
              <a:schemeClr val="tx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2"/>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U.S. </c:v>
                </c:pt>
                <c:pt idx="1">
                  <c:v>Texas</c:v>
                </c:pt>
                <c:pt idx="2">
                  <c:v>City of Houston</c:v>
                </c:pt>
                <c:pt idx="3">
                  <c:v>Bexar County</c:v>
                </c:pt>
                <c:pt idx="4">
                  <c:v>El Paso County</c:v>
                </c:pt>
                <c:pt idx="5">
                  <c:v>Dallas County</c:v>
                </c:pt>
              </c:strCache>
            </c:strRef>
          </c:cat>
          <c:val>
            <c:numRef>
              <c:f>Sheet1!$B$2:$B$7</c:f>
              <c:numCache>
                <c:formatCode>0.0%</c:formatCode>
                <c:ptCount val="6"/>
                <c:pt idx="0">
                  <c:v>0.70699999999999996</c:v>
                </c:pt>
                <c:pt idx="1">
                  <c:v>0.69499999999999995</c:v>
                </c:pt>
                <c:pt idx="2">
                  <c:v>0.73099999999999998</c:v>
                </c:pt>
                <c:pt idx="3">
                  <c:v>0.69399999999999995</c:v>
                </c:pt>
                <c:pt idx="4">
                  <c:v>0.72799999999999998</c:v>
                </c:pt>
                <c:pt idx="5">
                  <c:v>0.71199999999999997</c:v>
                </c:pt>
              </c:numCache>
            </c:numRef>
          </c:val>
          <c:extLst>
            <c:ext xmlns:c16="http://schemas.microsoft.com/office/drawing/2014/chart" uri="{C3380CC4-5D6E-409C-BE32-E72D297353CC}">
              <c16:uniqueId val="{00000000-4F4B-48F3-B2D0-C58C0FE39AC7}"/>
            </c:ext>
          </c:extLst>
        </c:ser>
        <c:dLbls>
          <c:showLegendKey val="0"/>
          <c:showVal val="0"/>
          <c:showCatName val="0"/>
          <c:showSerName val="0"/>
          <c:showPercent val="0"/>
          <c:showBubbleSize val="0"/>
        </c:dLbls>
        <c:gapWidth val="219"/>
        <c:overlap val="-27"/>
        <c:axId val="368476912"/>
        <c:axId val="368477304"/>
      </c:barChart>
      <c:catAx>
        <c:axId val="368476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crossAx val="368477304"/>
        <c:crosses val="autoZero"/>
        <c:auto val="1"/>
        <c:lblAlgn val="ctr"/>
        <c:lblOffset val="100"/>
        <c:noMultiLvlLbl val="0"/>
      </c:catAx>
      <c:valAx>
        <c:axId val="368477304"/>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b="1"/>
                  <a:t>Vaccine Coverage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crossAx val="368476912"/>
        <c:crosses val="autoZero"/>
        <c:crossBetween val="between"/>
        <c:majorUnit val="0.2"/>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2"/>
          </a:solidFill>
          <a:latin typeface="+mn-l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Texas Female</c:v>
                </c:pt>
              </c:strCache>
            </c:strRef>
          </c:tx>
          <c:spPr>
            <a:ln w="28575" cap="rnd">
              <a:solidFill>
                <a:schemeClr val="accent2"/>
              </a:solidFill>
              <a:round/>
            </a:ln>
            <a:effectLst/>
          </c:spPr>
          <c:marker>
            <c:symbol val="none"/>
          </c:marker>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0.0%</c:formatCode>
                <c:ptCount val="9"/>
                <c:pt idx="0">
                  <c:v>0.316</c:v>
                </c:pt>
                <c:pt idx="1">
                  <c:v>0.376</c:v>
                </c:pt>
                <c:pt idx="2">
                  <c:v>0.47499999999999998</c:v>
                </c:pt>
                <c:pt idx="3">
                  <c:v>0.48799999999999999</c:v>
                </c:pt>
                <c:pt idx="4">
                  <c:v>0.51200000000000001</c:v>
                </c:pt>
                <c:pt idx="5">
                  <c:v>0.55500000000000005</c:v>
                </c:pt>
                <c:pt idx="6">
                  <c:v>0.50700000000000001</c:v>
                </c:pt>
                <c:pt idx="7">
                  <c:v>0.60099999999999998</c:v>
                </c:pt>
                <c:pt idx="8">
                  <c:v>0.54500000000000004</c:v>
                </c:pt>
              </c:numCache>
            </c:numRef>
          </c:val>
          <c:smooth val="0"/>
          <c:extLst>
            <c:ext xmlns:c16="http://schemas.microsoft.com/office/drawing/2014/chart" uri="{C3380CC4-5D6E-409C-BE32-E72D297353CC}">
              <c16:uniqueId val="{00000000-E9F9-44BD-8AC3-06A68F258E3F}"/>
            </c:ext>
          </c:extLst>
        </c:ser>
        <c:ser>
          <c:idx val="1"/>
          <c:order val="1"/>
          <c:tx>
            <c:strRef>
              <c:f>Sheet1!$C$1</c:f>
              <c:strCache>
                <c:ptCount val="1"/>
                <c:pt idx="0">
                  <c:v>Texas Male</c:v>
                </c:pt>
              </c:strCache>
            </c:strRef>
          </c:tx>
          <c:spPr>
            <a:ln w="28575" cap="rnd">
              <a:solidFill>
                <a:schemeClr val="accent1">
                  <a:lumMod val="75000"/>
                </a:schemeClr>
              </a:solidFill>
              <a:round/>
            </a:ln>
            <a:effectLst/>
          </c:spPr>
          <c:marker>
            <c:symbol val="none"/>
          </c:marker>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General</c:formatCode>
                <c:ptCount val="9"/>
                <c:pt idx="3" formatCode="0.0%">
                  <c:v>0.104</c:v>
                </c:pt>
                <c:pt idx="4" formatCode="0.0%">
                  <c:v>0.24</c:v>
                </c:pt>
                <c:pt idx="5" formatCode="0.0%">
                  <c:v>0.33700000000000002</c:v>
                </c:pt>
                <c:pt idx="6" formatCode="0.0%">
                  <c:v>0.36599999999999999</c:v>
                </c:pt>
                <c:pt idx="7" formatCode="0.0%">
                  <c:v>0.41399999999999998</c:v>
                </c:pt>
                <c:pt idx="8" formatCode="0.0%">
                  <c:v>0.443</c:v>
                </c:pt>
              </c:numCache>
            </c:numRef>
          </c:val>
          <c:smooth val="0"/>
          <c:extLst>
            <c:ext xmlns:c16="http://schemas.microsoft.com/office/drawing/2014/chart" uri="{C3380CC4-5D6E-409C-BE32-E72D297353CC}">
              <c16:uniqueId val="{00000001-E9F9-44BD-8AC3-06A68F258E3F}"/>
            </c:ext>
          </c:extLst>
        </c:ser>
        <c:dLbls>
          <c:showLegendKey val="0"/>
          <c:showVal val="0"/>
          <c:showCatName val="0"/>
          <c:showSerName val="0"/>
          <c:showPercent val="0"/>
          <c:showBubbleSize val="0"/>
        </c:dLbls>
        <c:smooth val="0"/>
        <c:axId val="367223968"/>
        <c:axId val="367224360"/>
      </c:lineChart>
      <c:catAx>
        <c:axId val="36722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chemeClr val="tx2"/>
                </a:solidFill>
                <a:latin typeface="+mn-lt"/>
                <a:ea typeface="+mn-ea"/>
                <a:cs typeface="+mn-cs"/>
              </a:defRPr>
            </a:pPr>
            <a:endParaRPr lang="en-US"/>
          </a:p>
        </c:txPr>
        <c:crossAx val="367224360"/>
        <c:crosses val="autoZero"/>
        <c:auto val="1"/>
        <c:lblAlgn val="ctr"/>
        <c:lblOffset val="100"/>
        <c:noMultiLvlLbl val="0"/>
      </c:catAx>
      <c:valAx>
        <c:axId val="367224360"/>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b="1"/>
                  <a:t>Vaccine Coverage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crossAx val="367223968"/>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2"/>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Tdap</c:v>
                </c:pt>
              </c:strCache>
            </c:strRef>
          </c:tx>
          <c:spPr>
            <a:ln w="28575" cap="rnd">
              <a:solidFill>
                <a:schemeClr val="accent2">
                  <a:lumMod val="60000"/>
                  <a:lumOff val="40000"/>
                </a:schemeClr>
              </a:solidFill>
              <a:round/>
            </a:ln>
            <a:effectLst/>
          </c:spPr>
          <c:marker>
            <c:symbol val="none"/>
          </c:marker>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Sheet1!$B$2:$B$10</c:f>
              <c:numCache>
                <c:formatCode>0%</c:formatCode>
                <c:ptCount val="9"/>
                <c:pt idx="0" formatCode="0.0%">
                  <c:v>0.40799999999999997</c:v>
                </c:pt>
                <c:pt idx="1">
                  <c:v>0.57199999999999995</c:v>
                </c:pt>
                <c:pt idx="2" formatCode="0.0%">
                  <c:v>0.71899999999999997</c:v>
                </c:pt>
                <c:pt idx="3" formatCode="0.0%">
                  <c:v>0.80700000000000005</c:v>
                </c:pt>
                <c:pt idx="4" formatCode="0.0%">
                  <c:v>0.82499999999999996</c:v>
                </c:pt>
                <c:pt idx="5" formatCode="0.0%">
                  <c:v>0.84299999999999997</c:v>
                </c:pt>
                <c:pt idx="6" formatCode="0.0%">
                  <c:v>0.88200000000000001</c:v>
                </c:pt>
                <c:pt idx="7" formatCode="0.0%">
                  <c:v>0.85099999999999998</c:v>
                </c:pt>
                <c:pt idx="8" formatCode="0.0%">
                  <c:v>0.85</c:v>
                </c:pt>
              </c:numCache>
            </c:numRef>
          </c:val>
          <c:smooth val="0"/>
          <c:extLst>
            <c:ext xmlns:c16="http://schemas.microsoft.com/office/drawing/2014/chart" uri="{C3380CC4-5D6E-409C-BE32-E72D297353CC}">
              <c16:uniqueId val="{00000000-8423-42EA-ACCD-927BE1FF0F45}"/>
            </c:ext>
          </c:extLst>
        </c:ser>
        <c:ser>
          <c:idx val="1"/>
          <c:order val="1"/>
          <c:tx>
            <c:strRef>
              <c:f>Sheet1!$C$1</c:f>
              <c:strCache>
                <c:ptCount val="1"/>
                <c:pt idx="0">
                  <c:v>MenACWY</c:v>
                </c:pt>
              </c:strCache>
            </c:strRef>
          </c:tx>
          <c:spPr>
            <a:ln w="28575" cap="rnd">
              <a:solidFill>
                <a:schemeClr val="accent5"/>
              </a:solidFill>
              <a:round/>
            </a:ln>
            <a:effectLst/>
          </c:spPr>
          <c:marker>
            <c:symbol val="none"/>
          </c:marker>
          <c:cat>
            <c:numRef>
              <c:f>Sheet1!$A$2:$A$10</c:f>
              <c:numCache>
                <c:formatCode>General</c:formatCode>
                <c:ptCount val="9"/>
                <c:pt idx="0">
                  <c:v>2008</c:v>
                </c:pt>
                <c:pt idx="1">
                  <c:v>2009</c:v>
                </c:pt>
                <c:pt idx="2">
                  <c:v>2010</c:v>
                </c:pt>
                <c:pt idx="3">
                  <c:v>2011</c:v>
                </c:pt>
                <c:pt idx="4">
                  <c:v>2012</c:v>
                </c:pt>
                <c:pt idx="5">
                  <c:v>2013</c:v>
                </c:pt>
                <c:pt idx="6">
                  <c:v>2014</c:v>
                </c:pt>
                <c:pt idx="7">
                  <c:v>2015</c:v>
                </c:pt>
                <c:pt idx="8">
                  <c:v>2016</c:v>
                </c:pt>
              </c:numCache>
            </c:numRef>
          </c:cat>
          <c:val>
            <c:numRef>
              <c:f>Sheet1!$C$2:$C$10</c:f>
              <c:numCache>
                <c:formatCode>0%</c:formatCode>
                <c:ptCount val="9"/>
                <c:pt idx="0" formatCode="0.0%">
                  <c:v>0.374</c:v>
                </c:pt>
                <c:pt idx="1">
                  <c:v>0.51</c:v>
                </c:pt>
                <c:pt idx="2" formatCode="0.0%">
                  <c:v>0.65400000000000003</c:v>
                </c:pt>
                <c:pt idx="3" formatCode="0.0%">
                  <c:v>0.79100000000000004</c:v>
                </c:pt>
                <c:pt idx="4" formatCode="0.0%">
                  <c:v>0.84599999999999997</c:v>
                </c:pt>
                <c:pt idx="5" formatCode="0.0%">
                  <c:v>0.85499999999999998</c:v>
                </c:pt>
                <c:pt idx="6" formatCode="0.0%">
                  <c:v>0.88600000000000001</c:v>
                </c:pt>
                <c:pt idx="7" formatCode="0.0%">
                  <c:v>0.89600000000000002</c:v>
                </c:pt>
                <c:pt idx="8" formatCode="0.0%">
                  <c:v>0.85499999999999998</c:v>
                </c:pt>
              </c:numCache>
            </c:numRef>
          </c:val>
          <c:smooth val="0"/>
          <c:extLst>
            <c:ext xmlns:c16="http://schemas.microsoft.com/office/drawing/2014/chart" uri="{C3380CC4-5D6E-409C-BE32-E72D297353CC}">
              <c16:uniqueId val="{00000001-8423-42EA-ACCD-927BE1FF0F45}"/>
            </c:ext>
          </c:extLst>
        </c:ser>
        <c:dLbls>
          <c:showLegendKey val="0"/>
          <c:showVal val="0"/>
          <c:showCatName val="0"/>
          <c:showSerName val="0"/>
          <c:showPercent val="0"/>
          <c:showBubbleSize val="0"/>
        </c:dLbls>
        <c:smooth val="0"/>
        <c:axId val="367225144"/>
        <c:axId val="366741128"/>
      </c:lineChart>
      <c:catAx>
        <c:axId val="367225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1000" b="0" i="0" u="none" strike="noStrike" kern="1200" baseline="0">
                <a:solidFill>
                  <a:schemeClr val="tx2"/>
                </a:solidFill>
                <a:latin typeface="+mn-lt"/>
                <a:ea typeface="+mn-ea"/>
                <a:cs typeface="+mn-cs"/>
              </a:defRPr>
            </a:pPr>
            <a:endParaRPr lang="en-US"/>
          </a:p>
        </c:txPr>
        <c:crossAx val="366741128"/>
        <c:crosses val="autoZero"/>
        <c:auto val="1"/>
        <c:lblAlgn val="ctr"/>
        <c:lblOffset val="100"/>
        <c:noMultiLvlLbl val="0"/>
      </c:catAx>
      <c:valAx>
        <c:axId val="366741128"/>
        <c:scaling>
          <c:orientation val="minMax"/>
          <c:max val="1"/>
          <c:min val="0.3000000000000000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r>
                  <a:rPr lang="en-US" b="1"/>
                  <a:t>Vaccine Coverage</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2"/>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crossAx val="367225144"/>
        <c:crosses val="autoZero"/>
        <c:crossBetween val="between"/>
        <c:majorUnit val="0.1"/>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2"/>
          </a:solidFill>
          <a:latin typeface="+mn-lt"/>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Number of COs</c:v>
                </c:pt>
              </c:strCache>
            </c:strRef>
          </c:tx>
          <c:spPr>
            <a:ln w="28575" cap="rnd">
              <a:solidFill>
                <a:schemeClr val="accent1"/>
              </a:solidFill>
              <a:round/>
            </a:ln>
            <a:effectLst/>
          </c:spPr>
          <c:marker>
            <c:symbol val="circle"/>
            <c:size val="5"/>
            <c:spPr>
              <a:solidFill>
                <a:schemeClr val="accent1">
                  <a:lumMod val="50000"/>
                </a:schemeClr>
              </a:solidFill>
              <a:ln w="9525">
                <a:solidFill>
                  <a:schemeClr val="accent1">
                    <a:lumMod val="50000"/>
                  </a:schemeClr>
                </a:solidFill>
              </a:ln>
              <a:effectLst/>
            </c:spPr>
          </c:marker>
          <c:cat>
            <c:strRef>
              <c:f>Sheet1!$A$2:$A$10</c:f>
              <c:strCache>
                <c:ptCount val="9"/>
                <c:pt idx="0">
                  <c:v>2009-2010</c:v>
                </c:pt>
                <c:pt idx="1">
                  <c:v>2010-2011</c:v>
                </c:pt>
                <c:pt idx="2">
                  <c:v>2011-2012</c:v>
                </c:pt>
                <c:pt idx="3">
                  <c:v>2012-2013</c:v>
                </c:pt>
                <c:pt idx="4">
                  <c:v>2013-2014</c:v>
                </c:pt>
                <c:pt idx="5">
                  <c:v>2014-2015</c:v>
                </c:pt>
                <c:pt idx="6">
                  <c:v>2015-2016</c:v>
                </c:pt>
                <c:pt idx="7">
                  <c:v>2016-2017</c:v>
                </c:pt>
                <c:pt idx="8">
                  <c:v>2017-2018</c:v>
                </c:pt>
              </c:strCache>
            </c:strRef>
          </c:cat>
          <c:val>
            <c:numRef>
              <c:f>Sheet1!$B$2:$B$10</c:f>
              <c:numCache>
                <c:formatCode>General</c:formatCode>
                <c:ptCount val="9"/>
                <c:pt idx="0">
                  <c:v>19050</c:v>
                </c:pt>
                <c:pt idx="1">
                  <c:v>22910</c:v>
                </c:pt>
                <c:pt idx="2">
                  <c:v>28432</c:v>
                </c:pt>
                <c:pt idx="3">
                  <c:v>32616</c:v>
                </c:pt>
                <c:pt idx="4">
                  <c:v>38197</c:v>
                </c:pt>
                <c:pt idx="5">
                  <c:v>40997</c:v>
                </c:pt>
                <c:pt idx="6">
                  <c:v>44716</c:v>
                </c:pt>
                <c:pt idx="7">
                  <c:v>52756</c:v>
                </c:pt>
                <c:pt idx="8">
                  <c:v>56738</c:v>
                </c:pt>
              </c:numCache>
            </c:numRef>
          </c:val>
          <c:smooth val="0"/>
          <c:extLst>
            <c:ext xmlns:c16="http://schemas.microsoft.com/office/drawing/2014/chart" uri="{C3380CC4-5D6E-409C-BE32-E72D297353CC}">
              <c16:uniqueId val="{00000000-5827-43EC-B606-AA73A211B2E2}"/>
            </c:ext>
          </c:extLst>
        </c:ser>
        <c:dLbls>
          <c:showLegendKey val="0"/>
          <c:showVal val="0"/>
          <c:showCatName val="0"/>
          <c:showSerName val="0"/>
          <c:showPercent val="0"/>
          <c:showBubbleSize val="0"/>
        </c:dLbls>
        <c:marker val="1"/>
        <c:smooth val="0"/>
        <c:axId val="540162744"/>
        <c:axId val="540163136"/>
      </c:lineChart>
      <c:catAx>
        <c:axId val="540162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crossAx val="540163136"/>
        <c:crosses val="autoZero"/>
        <c:auto val="1"/>
        <c:lblAlgn val="ctr"/>
        <c:lblOffset val="100"/>
        <c:noMultiLvlLbl val="0"/>
      </c:catAx>
      <c:valAx>
        <c:axId val="540163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2"/>
                    </a:solidFill>
                    <a:latin typeface="+mn-lt"/>
                    <a:ea typeface="+mn-ea"/>
                    <a:cs typeface="+mn-cs"/>
                  </a:defRPr>
                </a:pPr>
                <a:r>
                  <a:rPr lang="en-US"/>
                  <a:t>Number of Exemptions Filed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2"/>
                </a:solidFill>
                <a:latin typeface="+mn-lt"/>
                <a:ea typeface="+mn-ea"/>
                <a:cs typeface="+mn-cs"/>
              </a:defRPr>
            </a:pPr>
            <a:endParaRPr lang="en-US"/>
          </a:p>
        </c:txPr>
        <c:crossAx val="540162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chemeClr val="tx2"/>
          </a:solidFill>
          <a:latin typeface="+mn-lt"/>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HHS Legislative">
  <a:themeElements>
    <a:clrScheme name="HHS Internal">
      <a:dk1>
        <a:srgbClr val="1E3C78"/>
      </a:dk1>
      <a:lt1>
        <a:srgbClr val="FFFFFF"/>
      </a:lt1>
      <a:dk2>
        <a:srgbClr val="000000"/>
      </a:dk2>
      <a:lt2>
        <a:srgbClr val="D1D3D3"/>
      </a:lt2>
      <a:accent1>
        <a:srgbClr val="6DABE4"/>
      </a:accent1>
      <a:accent2>
        <a:srgbClr val="AB2328"/>
      </a:accent2>
      <a:accent3>
        <a:srgbClr val="6CC04A"/>
      </a:accent3>
      <a:accent4>
        <a:srgbClr val="FFC409"/>
      </a:accent4>
      <a:accent5>
        <a:srgbClr val="00A19B"/>
      </a:accent5>
      <a:accent6>
        <a:srgbClr val="B18124"/>
      </a:accent6>
      <a:hlink>
        <a:srgbClr val="00B3E3"/>
      </a:hlink>
      <a:folHlink>
        <a:srgbClr val="7D868C"/>
      </a:folHlink>
    </a:clrScheme>
    <a:fontScheme name="Rockwell+Verdana">
      <a:majorFont>
        <a:latin typeface="Rockwell"/>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HS Legislative" id="{AE6E0F64-0A86-41DD-8677-CFDE883738AC}" vid="{F2FFE3E8-6C19-41D3-BB94-1D74DBDD9E2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20YY]</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D5172CCA30CB64BB4D09A3E79737DF4" ma:contentTypeVersion="8" ma:contentTypeDescription="Create a new document." ma:contentTypeScope="" ma:versionID="446cd32d81b0efa35ce0175245845b49">
  <xsd:schema xmlns:xsd="http://www.w3.org/2001/XMLSchema" xmlns:xs="http://www.w3.org/2001/XMLSchema" xmlns:p="http://schemas.microsoft.com/office/2006/metadata/properties" xmlns:ns2="d3dbd9dc-68e6-4c84-afc0-7226d7b2d4d3" xmlns:ns3="f3949e13-657a-4e2b-8ee6-55bc2c5bab5b" targetNamespace="http://schemas.microsoft.com/office/2006/metadata/properties" ma:root="true" ma:fieldsID="5aea4f5029b37af0860c74b76f4dde33" ns2:_="" ns3:_="">
    <xsd:import namespace="d3dbd9dc-68e6-4c84-afc0-7226d7b2d4d3"/>
    <xsd:import namespace="f3949e13-657a-4e2b-8ee6-55bc2c5bab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dbd9dc-68e6-4c84-afc0-7226d7b2d4d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949e13-657a-4e2b-8ee6-55bc2c5bab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56E1D8-71DC-42B0-AEF7-0949810FD9C0}">
  <ds:schemaRefs>
    <ds:schemaRef ds:uri="http://schemas.microsoft.com/sharepoint/v3/contenttype/forms"/>
  </ds:schemaRefs>
</ds:datastoreItem>
</file>

<file path=customXml/itemProps3.xml><?xml version="1.0" encoding="utf-8"?>
<ds:datastoreItem xmlns:ds="http://schemas.openxmlformats.org/officeDocument/2006/customXml" ds:itemID="{4EE8E244-F689-4B16-8641-BD3622E40DF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E058798-99EA-4581-BB52-2A584074A871}"/>
</file>

<file path=customXml/itemProps5.xml><?xml version="1.0" encoding="utf-8"?>
<ds:datastoreItem xmlns:ds="http://schemas.openxmlformats.org/officeDocument/2006/customXml" ds:itemID="{56469AD1-2D23-4BEB-86DA-D94942695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HHS_DSHS Template for Reports.dotx</Template>
  <TotalTime>1</TotalTime>
  <Pages>26</Pages>
  <Words>5149</Words>
  <Characters>29353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HHS Template for Reports, with Full Instructions</vt:lpstr>
    </vt:vector>
  </TitlesOfParts>
  <Company/>
  <LinksUpToDate>false</LinksUpToDate>
  <CharactersWithSpaces>34434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HHS Template for Reports, with Full Instructions</dc:title>
  <dc:subject/>
  <dc:creator>Hill,Jordan (DSHS)</dc:creator>
  <cp:keywords/>
  <dc:description/>
  <cp:lastModifiedBy>Spahn,Mackenzie L (DSHS)</cp:lastModifiedBy>
  <cp:revision>2</cp:revision>
  <cp:lastPrinted>2018-08-22T18:00:00Z</cp:lastPrinted>
  <dcterms:created xsi:type="dcterms:W3CDTF">2018-09-07T16:12:00Z</dcterms:created>
  <dcterms:modified xsi:type="dcterms:W3CDTF">2018-09-07T16:12:00Z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0x0101003D5172CCA30CB64BB4D09A3E79737DF4</vt:lpwstr>
  </property>
</Properties>
</file>