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63A8AC94" wp14:editId="58F18A59">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5">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6A120B" w:rsidRDefault="006A120B" w:rsidP="00042CAE">
      <w:pPr>
        <w:spacing w:before="0" w:line="240" w:lineRule="auto"/>
        <w:jc w:val="center"/>
        <w:rPr>
          <w:b/>
          <w:sz w:val="20"/>
          <w:szCs w:val="20"/>
        </w:rPr>
      </w:pPr>
    </w:p>
    <w:p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rsidR="00042CAE" w:rsidRPr="006A120B" w:rsidRDefault="00042CAE" w:rsidP="00042CAE">
      <w:pPr>
        <w:spacing w:before="0" w:line="240" w:lineRule="auto"/>
        <w:jc w:val="center"/>
        <w:rPr>
          <w:b/>
          <w:sz w:val="22"/>
          <w:szCs w:val="22"/>
        </w:rPr>
      </w:pPr>
    </w:p>
    <w:p w:rsidR="00042CAE" w:rsidRPr="006A120B" w:rsidRDefault="004C1B00" w:rsidP="00042CAE">
      <w:pPr>
        <w:spacing w:before="0" w:line="240" w:lineRule="auto"/>
        <w:jc w:val="center"/>
        <w:rPr>
          <w:b/>
          <w:sz w:val="22"/>
          <w:szCs w:val="22"/>
        </w:rPr>
      </w:pPr>
      <w:r>
        <w:rPr>
          <w:b/>
          <w:sz w:val="22"/>
          <w:szCs w:val="22"/>
        </w:rPr>
        <w:t>Friday, December 7</w:t>
      </w:r>
      <w:r w:rsidR="00042CAE" w:rsidRPr="006A120B">
        <w:rPr>
          <w:b/>
          <w:sz w:val="22"/>
          <w:szCs w:val="22"/>
        </w:rPr>
        <w:t>, 2018</w:t>
      </w:r>
    </w:p>
    <w:p w:rsidR="00042CAE" w:rsidRPr="006A120B" w:rsidRDefault="004C1B00" w:rsidP="00042CAE">
      <w:pPr>
        <w:spacing w:before="0" w:line="240" w:lineRule="auto"/>
        <w:jc w:val="center"/>
        <w:rPr>
          <w:b/>
          <w:sz w:val="22"/>
          <w:szCs w:val="22"/>
        </w:rPr>
      </w:pPr>
      <w:r>
        <w:rPr>
          <w:b/>
          <w:sz w:val="22"/>
          <w:szCs w:val="22"/>
        </w:rPr>
        <w:t>9:00 A</w:t>
      </w:r>
      <w:r w:rsidR="00042CAE" w:rsidRPr="006A120B">
        <w:rPr>
          <w:b/>
          <w:sz w:val="22"/>
          <w:szCs w:val="22"/>
        </w:rPr>
        <w:t>M</w:t>
      </w:r>
    </w:p>
    <w:p w:rsidR="00042CAE" w:rsidRPr="006A120B" w:rsidRDefault="00042CAE" w:rsidP="00042CAE">
      <w:pPr>
        <w:spacing w:before="0" w:line="240" w:lineRule="auto"/>
        <w:jc w:val="center"/>
        <w:rPr>
          <w:sz w:val="22"/>
          <w:szCs w:val="22"/>
        </w:rPr>
      </w:pPr>
    </w:p>
    <w:p w:rsidR="00042CAE" w:rsidRPr="000336B7" w:rsidRDefault="00042CAE" w:rsidP="00042CAE">
      <w:pPr>
        <w:spacing w:before="0" w:line="240" w:lineRule="auto"/>
        <w:jc w:val="center"/>
        <w:rPr>
          <w:sz w:val="22"/>
          <w:szCs w:val="22"/>
        </w:rPr>
      </w:pPr>
      <w:r w:rsidRPr="000336B7">
        <w:rPr>
          <w:sz w:val="22"/>
          <w:szCs w:val="22"/>
        </w:rPr>
        <w:t>Texas Department of State Health Services</w:t>
      </w:r>
      <w:r w:rsidR="00EB2C77" w:rsidRPr="000336B7">
        <w:rPr>
          <w:sz w:val="22"/>
          <w:szCs w:val="22"/>
        </w:rPr>
        <w:t xml:space="preserve"> (DSHS)</w:t>
      </w:r>
    </w:p>
    <w:p w:rsidR="00042CAE" w:rsidRPr="000336B7" w:rsidRDefault="00042CAE" w:rsidP="00042CAE">
      <w:pPr>
        <w:spacing w:before="0" w:line="240" w:lineRule="auto"/>
        <w:jc w:val="center"/>
        <w:rPr>
          <w:sz w:val="22"/>
          <w:szCs w:val="22"/>
        </w:rPr>
      </w:pPr>
      <w:r w:rsidRPr="000336B7">
        <w:rPr>
          <w:sz w:val="22"/>
          <w:szCs w:val="22"/>
        </w:rPr>
        <w:t>Robert D. Moreton Building</w:t>
      </w:r>
      <w:bookmarkStart w:id="0" w:name="_GoBack"/>
      <w:bookmarkEnd w:id="0"/>
    </w:p>
    <w:p w:rsidR="00042CAE" w:rsidRPr="000336B7" w:rsidRDefault="00042CAE" w:rsidP="00042CAE">
      <w:pPr>
        <w:spacing w:before="0" w:line="240" w:lineRule="auto"/>
        <w:jc w:val="center"/>
        <w:rPr>
          <w:sz w:val="22"/>
          <w:szCs w:val="22"/>
        </w:rPr>
      </w:pPr>
      <w:r w:rsidRPr="000336B7">
        <w:rPr>
          <w:sz w:val="22"/>
          <w:szCs w:val="22"/>
        </w:rPr>
        <w:t>M-101</w:t>
      </w:r>
    </w:p>
    <w:p w:rsidR="00042CAE" w:rsidRPr="000336B7" w:rsidRDefault="00042CAE" w:rsidP="00042CAE">
      <w:pPr>
        <w:spacing w:before="0" w:line="240" w:lineRule="auto"/>
        <w:jc w:val="center"/>
        <w:rPr>
          <w:sz w:val="22"/>
          <w:szCs w:val="22"/>
        </w:rPr>
      </w:pPr>
      <w:r w:rsidRPr="000336B7">
        <w:rPr>
          <w:sz w:val="22"/>
          <w:szCs w:val="22"/>
        </w:rPr>
        <w:t>1100 West 49</w:t>
      </w:r>
      <w:r w:rsidRPr="000336B7">
        <w:rPr>
          <w:sz w:val="22"/>
          <w:szCs w:val="22"/>
          <w:vertAlign w:val="superscript"/>
        </w:rPr>
        <w:t>th</w:t>
      </w:r>
      <w:r w:rsidRPr="000336B7">
        <w:rPr>
          <w:sz w:val="22"/>
          <w:szCs w:val="22"/>
        </w:rPr>
        <w:t xml:space="preserve"> Street</w:t>
      </w:r>
    </w:p>
    <w:p w:rsidR="00042CAE" w:rsidRDefault="00042CAE" w:rsidP="00042CAE">
      <w:pPr>
        <w:spacing w:before="0" w:line="240" w:lineRule="auto"/>
        <w:jc w:val="center"/>
        <w:rPr>
          <w:sz w:val="22"/>
          <w:szCs w:val="22"/>
        </w:rPr>
      </w:pPr>
      <w:r w:rsidRPr="000336B7">
        <w:rPr>
          <w:sz w:val="22"/>
          <w:szCs w:val="22"/>
        </w:rPr>
        <w:t>Austin, TX 78660</w:t>
      </w:r>
    </w:p>
    <w:p w:rsidR="00097BF8" w:rsidRDefault="00097BF8" w:rsidP="00042CAE">
      <w:pPr>
        <w:spacing w:before="0" w:line="240" w:lineRule="auto"/>
        <w:jc w:val="center"/>
        <w:rPr>
          <w:sz w:val="22"/>
          <w:szCs w:val="22"/>
        </w:rPr>
      </w:pPr>
    </w:p>
    <w:p w:rsidR="00097BF8" w:rsidRDefault="00097BF8" w:rsidP="00097BF8">
      <w:pPr>
        <w:spacing w:before="0" w:line="240" w:lineRule="auto"/>
        <w:rPr>
          <w:sz w:val="22"/>
          <w:szCs w:val="22"/>
        </w:rPr>
      </w:pPr>
      <w:r>
        <w:rPr>
          <w:sz w:val="22"/>
          <w:szCs w:val="22"/>
        </w:rPr>
        <w:t>This meeting will be available by teleconference.</w:t>
      </w:r>
    </w:p>
    <w:p w:rsidR="00097BF8" w:rsidRPr="00097BF8" w:rsidRDefault="00097BF8" w:rsidP="00097BF8">
      <w:pPr>
        <w:spacing w:before="0" w:line="240" w:lineRule="auto"/>
        <w:rPr>
          <w:sz w:val="22"/>
          <w:szCs w:val="22"/>
        </w:rPr>
      </w:pPr>
      <w:r w:rsidRPr="00097BF8">
        <w:rPr>
          <w:sz w:val="22"/>
          <w:szCs w:val="22"/>
        </w:rPr>
        <w:t>Call-in Number: 1-877-820-7831</w:t>
      </w:r>
      <w:r w:rsidR="004C4C50">
        <w:rPr>
          <w:sz w:val="22"/>
          <w:szCs w:val="22"/>
        </w:rPr>
        <w:t xml:space="preserve">; </w:t>
      </w:r>
      <w:r w:rsidRPr="00097BF8">
        <w:rPr>
          <w:sz w:val="22"/>
          <w:szCs w:val="22"/>
        </w:rPr>
        <w:t>Passcode: 899597#</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rsidR="00042CAE" w:rsidRPr="006A120B" w:rsidRDefault="00042CAE" w:rsidP="00042CAE">
      <w:pPr>
        <w:spacing w:before="0" w:line="240" w:lineRule="auto"/>
        <w:rPr>
          <w:b/>
          <w:sz w:val="22"/>
          <w:szCs w:val="22"/>
        </w:rPr>
      </w:pPr>
    </w:p>
    <w:p w:rsidR="00042CAE" w:rsidRPr="006A120B" w:rsidRDefault="00042CAE" w:rsidP="00042CAE">
      <w:pPr>
        <w:numPr>
          <w:ilvl w:val="0"/>
          <w:numId w:val="1"/>
        </w:numPr>
        <w:tabs>
          <w:tab w:val="clear" w:pos="360"/>
          <w:tab w:val="num" w:pos="720"/>
        </w:tabs>
        <w:spacing w:before="0" w:line="240" w:lineRule="auto"/>
        <w:ind w:left="720" w:hanging="720"/>
        <w:contextualSpacing w:val="0"/>
        <w:rPr>
          <w:sz w:val="22"/>
          <w:szCs w:val="22"/>
        </w:rPr>
      </w:pPr>
      <w:r w:rsidRPr="006A120B">
        <w:rPr>
          <w:sz w:val="22"/>
          <w:szCs w:val="22"/>
        </w:rPr>
        <w:t>Welcome and Introductions</w:t>
      </w:r>
    </w:p>
    <w:p w:rsidR="00463CD6" w:rsidRPr="008B10A0" w:rsidRDefault="00463CD6"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October 17, 2018 and November 6, 2018 meeting minutes</w:t>
      </w:r>
    </w:p>
    <w:p w:rsidR="00463CD6" w:rsidRDefault="005F6CA7"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PHFPC </w:t>
      </w:r>
      <w:r w:rsidR="00463CD6">
        <w:rPr>
          <w:sz w:val="22"/>
          <w:szCs w:val="22"/>
        </w:rPr>
        <w:t>bylaws</w:t>
      </w:r>
    </w:p>
    <w:p w:rsidR="00DA230F" w:rsidRDefault="00572AFE"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PHFPC recommendations to DSHS for p</w:t>
      </w:r>
      <w:r w:rsidR="00DA230F">
        <w:rPr>
          <w:sz w:val="22"/>
          <w:szCs w:val="22"/>
        </w:rPr>
        <w:t xml:space="preserve">ublic health workforce </w:t>
      </w:r>
      <w:r>
        <w:rPr>
          <w:sz w:val="22"/>
          <w:szCs w:val="22"/>
        </w:rPr>
        <w:t>training</w:t>
      </w:r>
    </w:p>
    <w:p w:rsidR="00463CD6" w:rsidRDefault="00572AFE"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PHFPC recommendations to DSHS for improved b</w:t>
      </w:r>
      <w:r w:rsidR="00463CD6">
        <w:rPr>
          <w:sz w:val="22"/>
          <w:szCs w:val="22"/>
        </w:rPr>
        <w:t>illing for local health departments</w:t>
      </w:r>
    </w:p>
    <w:p w:rsidR="00463CD6" w:rsidRDefault="00782BC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DSHS response to </w:t>
      </w:r>
      <w:r w:rsidR="005F6CA7">
        <w:rPr>
          <w:sz w:val="22"/>
          <w:szCs w:val="22"/>
        </w:rPr>
        <w:t xml:space="preserve">PHFPC </w:t>
      </w:r>
      <w:r>
        <w:rPr>
          <w:sz w:val="22"/>
          <w:szCs w:val="22"/>
        </w:rPr>
        <w:t>annual report</w:t>
      </w:r>
    </w:p>
    <w:p w:rsidR="00DA230F" w:rsidRPr="006A120B" w:rsidRDefault="00DA230F"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1115 Waiver transition plan</w:t>
      </w:r>
    </w:p>
    <w:p w:rsidR="00042CAE"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Public c</w:t>
      </w:r>
      <w:r w:rsidR="00042CAE" w:rsidRPr="006A120B">
        <w:rPr>
          <w:sz w:val="22"/>
          <w:szCs w:val="22"/>
        </w:rPr>
        <w:t>omment</w:t>
      </w:r>
    </w:p>
    <w:p w:rsidR="00463CD6"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Agenda items for next meeting</w:t>
      </w:r>
    </w:p>
    <w:p w:rsidR="00463CD6"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Future meeting date</w:t>
      </w:r>
      <w:r w:rsidR="004C1B00">
        <w:rPr>
          <w:sz w:val="22"/>
          <w:szCs w:val="22"/>
        </w:rPr>
        <w:t>/location</w:t>
      </w:r>
    </w:p>
    <w:p w:rsidR="004C1B00" w:rsidRPr="006A120B" w:rsidRDefault="004C1B0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Adjourn</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The committee may take any action on any agenda item.</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6" w:history="1">
        <w:r w:rsidRPr="006A120B">
          <w:rPr>
            <w:rStyle w:val="Hyperlink"/>
            <w:sz w:val="22"/>
            <w:szCs w:val="22"/>
          </w:rPr>
          <w:t>Glenna.Laughlin@dshs.texas.gov</w:t>
        </w:r>
      </w:hyperlink>
      <w:r w:rsidRPr="006A120B">
        <w:rPr>
          <w:sz w:val="22"/>
          <w:szCs w:val="22"/>
        </w:rPr>
        <w:t>.</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i/>
          <w:sz w:val="22"/>
          <w:szCs w:val="22"/>
        </w:rPr>
      </w:pPr>
      <w:r w:rsidRPr="006A120B">
        <w:rPr>
          <w:i/>
          <w:sz w:val="22"/>
          <w:szCs w:val="22"/>
        </w:rPr>
        <w:t xml:space="preserve">This meeting is open to the public.  No reservations are required, and there is no cost to attend this meeting. </w:t>
      </w:r>
    </w:p>
    <w:p w:rsidR="00042CAE" w:rsidRPr="006A120B" w:rsidRDefault="00042CAE" w:rsidP="00042CAE">
      <w:pPr>
        <w:spacing w:before="0" w:line="240" w:lineRule="auto"/>
        <w:rPr>
          <w:i/>
          <w:sz w:val="22"/>
          <w:szCs w:val="22"/>
        </w:rPr>
      </w:pPr>
    </w:p>
    <w:p w:rsidR="00042CAE" w:rsidRPr="006A120B" w:rsidRDefault="00042CAE" w:rsidP="00042CAE">
      <w:pPr>
        <w:spacing w:before="0" w:line="240" w:lineRule="auto"/>
        <w:rPr>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rsidR="00773999" w:rsidRPr="006A120B" w:rsidRDefault="00773999">
      <w:pPr>
        <w:rPr>
          <w:sz w:val="22"/>
          <w:szCs w:val="22"/>
        </w:rPr>
      </w:pPr>
    </w:p>
    <w:sectPr w:rsidR="00773999" w:rsidRPr="006A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AE"/>
    <w:rsid w:val="000336B7"/>
    <w:rsid w:val="00042CAE"/>
    <w:rsid w:val="00097BF8"/>
    <w:rsid w:val="002B7F30"/>
    <w:rsid w:val="00377AEF"/>
    <w:rsid w:val="00463CD6"/>
    <w:rsid w:val="004C1B00"/>
    <w:rsid w:val="004C4C50"/>
    <w:rsid w:val="00572AFE"/>
    <w:rsid w:val="005F6CA7"/>
    <w:rsid w:val="006A120B"/>
    <w:rsid w:val="00773999"/>
    <w:rsid w:val="00782BC0"/>
    <w:rsid w:val="008B10A0"/>
    <w:rsid w:val="00916B04"/>
    <w:rsid w:val="00C950E1"/>
    <w:rsid w:val="00DA230F"/>
    <w:rsid w:val="00EB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a.Laughlin@dshs.texa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Brandt,Vivian (DSHS)</cp:lastModifiedBy>
  <cp:revision>2</cp:revision>
  <dcterms:created xsi:type="dcterms:W3CDTF">2018-11-30T16:22:00Z</dcterms:created>
  <dcterms:modified xsi:type="dcterms:W3CDTF">2018-11-30T16:22:00Z</dcterms:modified>
</cp:coreProperties>
</file>