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45D79" w14:textId="77777777" w:rsidR="00267876" w:rsidRPr="008B7FB6" w:rsidRDefault="00267876" w:rsidP="00A65310">
      <w:pPr>
        <w:pStyle w:val="Heading1"/>
        <w:spacing w:before="120"/>
        <w:jc w:val="right"/>
        <w:rPr>
          <w:rFonts w:ascii="Verdana" w:hAnsi="Verdana" w:cs="Arial"/>
          <w:b/>
          <w:color w:val="auto"/>
          <w:sz w:val="28"/>
        </w:rPr>
      </w:pPr>
      <w:bookmarkStart w:id="0" w:name="_GoBack"/>
      <w:bookmarkEnd w:id="0"/>
      <w:r w:rsidRPr="008B7FB6">
        <w:rPr>
          <w:rFonts w:ascii="Verdana" w:hAnsi="Verdana" w:cs="Arial"/>
          <w:b/>
          <w:color w:val="auto"/>
          <w:sz w:val="28"/>
        </w:rPr>
        <w:t>Research and Resources on Promoting Positive</w:t>
      </w:r>
    </w:p>
    <w:p w14:paraId="68C7FD2D" w14:textId="3F8486CF" w:rsidR="008A433C" w:rsidRPr="008B7FB6" w:rsidRDefault="00267876" w:rsidP="00D426F5">
      <w:pPr>
        <w:pStyle w:val="Heading1"/>
        <w:spacing w:before="0"/>
        <w:jc w:val="right"/>
        <w:rPr>
          <w:rFonts w:ascii="Verdana" w:hAnsi="Verdana" w:cs="Arial"/>
          <w:b/>
          <w:color w:val="auto"/>
          <w:sz w:val="28"/>
        </w:rPr>
      </w:pPr>
      <w:r w:rsidRPr="008B7FB6">
        <w:rPr>
          <w:rFonts w:ascii="Verdana" w:hAnsi="Verdana" w:cs="Arial"/>
          <w:b/>
          <w:color w:val="auto"/>
          <w:sz w:val="28"/>
        </w:rPr>
        <w:t>School Climates to Improve Student Outcomes</w:t>
      </w:r>
    </w:p>
    <w:p w14:paraId="02C10628" w14:textId="462DC60B" w:rsidR="003A5F40" w:rsidRPr="004D5668" w:rsidRDefault="008B7FB6" w:rsidP="00D426F5">
      <w:pPr>
        <w:spacing w:before="120" w:after="120"/>
        <w:jc w:val="right"/>
        <w:rPr>
          <w:rFonts w:ascii="Verdana" w:hAnsi="Verdana" w:cs="Arial"/>
          <w:bCs/>
          <w:szCs w:val="28"/>
        </w:rPr>
      </w:pPr>
      <w:r w:rsidRPr="004D5668">
        <w:rPr>
          <w:rFonts w:ascii="Verdana" w:hAnsi="Verdana" w:cs="Arial"/>
          <w:bCs/>
          <w:szCs w:val="28"/>
        </w:rPr>
        <w:t>Last Revised: September 2016</w:t>
      </w:r>
    </w:p>
    <w:p w14:paraId="74A7FAAD" w14:textId="01A30AD9" w:rsidR="001071A8" w:rsidRPr="00362F9C" w:rsidRDefault="00FB0B5B" w:rsidP="0077258F">
      <w:pPr>
        <w:pStyle w:val="Heading2"/>
        <w:spacing w:after="100" w:afterAutospacing="1"/>
        <w:rPr>
          <w:rFonts w:ascii="Verdana" w:hAnsi="Verdana" w:cs="Arial"/>
          <w:b/>
          <w:color w:val="auto"/>
        </w:rPr>
      </w:pPr>
      <w:r>
        <w:rPr>
          <w:rFonts w:ascii="Verdana" w:hAnsi="Verdana" w:cs="Arial"/>
          <w:b/>
          <w:color w:val="auto"/>
        </w:rPr>
        <w:t>Background</w:t>
      </w:r>
      <w:r w:rsidR="00A12238" w:rsidRPr="00362F9C">
        <w:rPr>
          <w:rFonts w:ascii="Verdana" w:hAnsi="Verdana" w:cs="Arial"/>
          <w:b/>
          <w:color w:val="auto"/>
        </w:rPr>
        <w:t>:</w:t>
      </w:r>
    </w:p>
    <w:p w14:paraId="78B9F4D8" w14:textId="1B1B694B" w:rsidR="00A0306B" w:rsidRPr="00362F9C" w:rsidRDefault="00E73DCD" w:rsidP="0077258F">
      <w:pPr>
        <w:rPr>
          <w:rFonts w:ascii="Verdana" w:hAnsi="Verdana" w:cs="Arial"/>
          <w:bCs/>
        </w:rPr>
      </w:pPr>
      <w:r w:rsidRPr="00362F9C">
        <w:rPr>
          <w:rFonts w:ascii="Verdana" w:hAnsi="Verdana" w:cs="Arial"/>
          <w:bCs/>
        </w:rPr>
        <w:t xml:space="preserve">School climate refers to the quality and character of school life. </w:t>
      </w:r>
      <w:r w:rsidR="00CB4E47" w:rsidRPr="00362F9C">
        <w:rPr>
          <w:rFonts w:ascii="Verdana" w:hAnsi="Verdana" w:cs="Arial"/>
          <w:bCs/>
        </w:rPr>
        <w:t xml:space="preserve">It is </w:t>
      </w:r>
      <w:r w:rsidRPr="00362F9C">
        <w:rPr>
          <w:rFonts w:ascii="Verdana" w:hAnsi="Verdana" w:cs="Arial"/>
          <w:bCs/>
        </w:rPr>
        <w:t xml:space="preserve">based on </w:t>
      </w:r>
      <w:r w:rsidR="00CB4E47" w:rsidRPr="00362F9C">
        <w:rPr>
          <w:rFonts w:ascii="Verdana" w:hAnsi="Verdana" w:cs="Arial"/>
          <w:bCs/>
        </w:rPr>
        <w:t xml:space="preserve">the </w:t>
      </w:r>
      <w:r w:rsidRPr="00362F9C">
        <w:rPr>
          <w:rFonts w:ascii="Verdana" w:hAnsi="Verdana" w:cs="Arial"/>
          <w:bCs/>
        </w:rPr>
        <w:t>patterns of students', parents' and school personnel's experience of school life</w:t>
      </w:r>
      <w:r w:rsidR="00961981">
        <w:rPr>
          <w:rFonts w:ascii="Verdana" w:hAnsi="Verdana" w:cs="Arial"/>
          <w:bCs/>
        </w:rPr>
        <w:t>.</w:t>
      </w:r>
    </w:p>
    <w:p w14:paraId="5721A1FD" w14:textId="2DD066E5" w:rsidR="00A0306B" w:rsidRPr="00362F9C" w:rsidRDefault="00CB4E47" w:rsidP="00961981">
      <w:pPr>
        <w:spacing w:before="240"/>
        <w:rPr>
          <w:rFonts w:ascii="Verdana" w:hAnsi="Verdana" w:cs="Arial"/>
          <w:b/>
          <w:bCs/>
        </w:rPr>
      </w:pPr>
      <w:r w:rsidRPr="00362F9C">
        <w:rPr>
          <w:rFonts w:ascii="Verdana" w:hAnsi="Verdana" w:cs="Arial"/>
          <w:bCs/>
        </w:rPr>
        <w:t>School climate can promote or get in the way of meaningful student learning.</w:t>
      </w:r>
      <w:r w:rsidRPr="00362F9C">
        <w:rPr>
          <w:rFonts w:ascii="Verdana" w:hAnsi="Verdana" w:cs="Arial"/>
          <w:b/>
          <w:bCs/>
        </w:rPr>
        <w:t xml:space="preserve"> </w:t>
      </w:r>
      <w:r w:rsidR="00A0306B" w:rsidRPr="00362F9C">
        <w:rPr>
          <w:rFonts w:ascii="Verdana" w:hAnsi="Verdana" w:cs="Arial"/>
          <w:bCs/>
        </w:rPr>
        <w:t xml:space="preserve">A positive school climate </w:t>
      </w:r>
      <w:r w:rsidRPr="00362F9C">
        <w:rPr>
          <w:rFonts w:ascii="Verdana" w:hAnsi="Verdana" w:cs="Arial"/>
          <w:bCs/>
        </w:rPr>
        <w:t xml:space="preserve">is one that </w:t>
      </w:r>
      <w:r w:rsidR="00A0306B" w:rsidRPr="00362F9C">
        <w:rPr>
          <w:rFonts w:ascii="Verdana" w:hAnsi="Verdana" w:cs="Arial"/>
          <w:bCs/>
        </w:rPr>
        <w:t>fosters you</w:t>
      </w:r>
      <w:r w:rsidRPr="00362F9C">
        <w:rPr>
          <w:rFonts w:ascii="Verdana" w:hAnsi="Verdana" w:cs="Arial"/>
          <w:bCs/>
        </w:rPr>
        <w:t>th development and learning. It is characterized by</w:t>
      </w:r>
      <w:r w:rsidR="00F720BB">
        <w:rPr>
          <w:rFonts w:ascii="Verdana" w:hAnsi="Verdana" w:cs="Arial"/>
          <w:bCs/>
        </w:rPr>
        <w:t>:</w:t>
      </w:r>
    </w:p>
    <w:p w14:paraId="40505641" w14:textId="49DD4002" w:rsidR="00E73DCD" w:rsidRPr="00362F9C" w:rsidRDefault="00CB4E47" w:rsidP="0077258F">
      <w:pPr>
        <w:numPr>
          <w:ilvl w:val="0"/>
          <w:numId w:val="1"/>
        </w:numPr>
        <w:rPr>
          <w:rFonts w:ascii="Verdana" w:hAnsi="Verdana" w:cs="Arial"/>
          <w:bCs/>
        </w:rPr>
      </w:pPr>
      <w:r w:rsidRPr="00362F9C">
        <w:rPr>
          <w:rFonts w:ascii="Verdana" w:hAnsi="Verdana" w:cs="Arial"/>
          <w:bCs/>
        </w:rPr>
        <w:t>School n</w:t>
      </w:r>
      <w:r w:rsidR="00E73DCD" w:rsidRPr="00362F9C">
        <w:rPr>
          <w:rFonts w:ascii="Verdana" w:hAnsi="Verdana" w:cs="Arial"/>
          <w:bCs/>
        </w:rPr>
        <w:t>orms, values and expectations that support people feeling socially, emotionally and physically safe.</w:t>
      </w:r>
    </w:p>
    <w:p w14:paraId="6509D24E" w14:textId="1ABA1D01" w:rsidR="00E73DCD" w:rsidRPr="00362F9C" w:rsidRDefault="00E73DCD" w:rsidP="0077258F">
      <w:pPr>
        <w:numPr>
          <w:ilvl w:val="0"/>
          <w:numId w:val="1"/>
        </w:numPr>
        <w:rPr>
          <w:rFonts w:ascii="Verdana" w:hAnsi="Verdana" w:cs="Arial"/>
          <w:bCs/>
        </w:rPr>
      </w:pPr>
      <w:r w:rsidRPr="00362F9C">
        <w:rPr>
          <w:rFonts w:ascii="Verdana" w:hAnsi="Verdana" w:cs="Arial"/>
          <w:bCs/>
        </w:rPr>
        <w:t xml:space="preserve">People </w:t>
      </w:r>
      <w:r w:rsidR="00CB4E47" w:rsidRPr="00362F9C">
        <w:rPr>
          <w:rFonts w:ascii="Verdana" w:hAnsi="Verdana" w:cs="Arial"/>
          <w:bCs/>
        </w:rPr>
        <w:t>being</w:t>
      </w:r>
      <w:r w:rsidRPr="00362F9C">
        <w:rPr>
          <w:rFonts w:ascii="Verdana" w:hAnsi="Verdana" w:cs="Arial"/>
          <w:bCs/>
        </w:rPr>
        <w:t xml:space="preserve"> engaged and respected.</w:t>
      </w:r>
    </w:p>
    <w:p w14:paraId="44D5DA3F" w14:textId="70F75EA4" w:rsidR="00E73DCD" w:rsidRPr="00362F9C" w:rsidRDefault="00E73DCD" w:rsidP="0077258F">
      <w:pPr>
        <w:numPr>
          <w:ilvl w:val="0"/>
          <w:numId w:val="1"/>
        </w:numPr>
        <w:rPr>
          <w:rFonts w:ascii="Verdana" w:hAnsi="Verdana" w:cs="Arial"/>
          <w:bCs/>
        </w:rPr>
      </w:pPr>
      <w:r w:rsidRPr="00362F9C">
        <w:rPr>
          <w:rFonts w:ascii="Verdana" w:hAnsi="Verdana" w:cs="Arial"/>
          <w:bCs/>
        </w:rPr>
        <w:t>Students, families and educators work</w:t>
      </w:r>
      <w:r w:rsidR="00CB4E47" w:rsidRPr="00362F9C">
        <w:rPr>
          <w:rFonts w:ascii="Verdana" w:hAnsi="Verdana" w:cs="Arial"/>
          <w:bCs/>
        </w:rPr>
        <w:t>ing</w:t>
      </w:r>
      <w:r w:rsidRPr="00362F9C">
        <w:rPr>
          <w:rFonts w:ascii="Verdana" w:hAnsi="Verdana" w:cs="Arial"/>
          <w:bCs/>
        </w:rPr>
        <w:t xml:space="preserve"> together to develop, live and contribute to a shared school vision.</w:t>
      </w:r>
    </w:p>
    <w:p w14:paraId="5B22698B" w14:textId="5CF6AB05" w:rsidR="00E73DCD" w:rsidRPr="00362F9C" w:rsidRDefault="00E73DCD" w:rsidP="0077258F">
      <w:pPr>
        <w:numPr>
          <w:ilvl w:val="0"/>
          <w:numId w:val="1"/>
        </w:numPr>
        <w:rPr>
          <w:rFonts w:ascii="Verdana" w:hAnsi="Verdana" w:cs="Arial"/>
          <w:bCs/>
        </w:rPr>
      </w:pPr>
      <w:r w:rsidRPr="00362F9C">
        <w:rPr>
          <w:rFonts w:ascii="Verdana" w:hAnsi="Verdana" w:cs="Arial"/>
          <w:bCs/>
        </w:rPr>
        <w:t xml:space="preserve">Educators </w:t>
      </w:r>
      <w:r w:rsidR="00CB4E47" w:rsidRPr="00362F9C">
        <w:rPr>
          <w:rFonts w:ascii="Verdana" w:hAnsi="Verdana" w:cs="Arial"/>
          <w:bCs/>
        </w:rPr>
        <w:t xml:space="preserve">who </w:t>
      </w:r>
      <w:r w:rsidRPr="00362F9C">
        <w:rPr>
          <w:rFonts w:ascii="Verdana" w:hAnsi="Verdana" w:cs="Arial"/>
          <w:bCs/>
        </w:rPr>
        <w:t>model and nurture attitudes that emphasize the benefits and satisfaction gained from learning.</w:t>
      </w:r>
    </w:p>
    <w:p w14:paraId="5237DE59" w14:textId="22C35630" w:rsidR="00E73DCD" w:rsidRPr="00362F9C" w:rsidRDefault="00CB4E47" w:rsidP="0077258F">
      <w:pPr>
        <w:numPr>
          <w:ilvl w:val="0"/>
          <w:numId w:val="1"/>
        </w:numPr>
        <w:rPr>
          <w:rFonts w:ascii="Verdana" w:hAnsi="Verdana" w:cs="Arial"/>
          <w:bCs/>
        </w:rPr>
      </w:pPr>
      <w:r w:rsidRPr="00362F9C">
        <w:rPr>
          <w:rFonts w:ascii="Verdana" w:hAnsi="Verdana" w:cs="Arial"/>
          <w:bCs/>
        </w:rPr>
        <w:t>Each person contributing</w:t>
      </w:r>
      <w:r w:rsidR="00E73DCD" w:rsidRPr="00362F9C">
        <w:rPr>
          <w:rFonts w:ascii="Verdana" w:hAnsi="Verdana" w:cs="Arial"/>
          <w:bCs/>
        </w:rPr>
        <w:t xml:space="preserve"> to the operations of the school and the care of the physical environment.</w:t>
      </w:r>
    </w:p>
    <w:p w14:paraId="2B139A17" w14:textId="17515591" w:rsidR="00E73DCD" w:rsidRPr="00362F9C" w:rsidRDefault="003A5F40" w:rsidP="0077258F">
      <w:pPr>
        <w:numPr>
          <w:ilvl w:val="0"/>
          <w:numId w:val="1"/>
        </w:numPr>
        <w:rPr>
          <w:rFonts w:ascii="Verdana" w:hAnsi="Verdana" w:cs="Arial"/>
          <w:bCs/>
        </w:rPr>
      </w:pPr>
      <w:r w:rsidRPr="00362F9C">
        <w:rPr>
          <w:rFonts w:ascii="Verdana" w:hAnsi="Verdana" w:cs="Arial"/>
          <w:bCs/>
        </w:rPr>
        <w:t>Open communication between parents and teachers.</w:t>
      </w:r>
    </w:p>
    <w:p w14:paraId="23666388" w14:textId="659BA6F0" w:rsidR="003A5F40" w:rsidRPr="00BF5393" w:rsidRDefault="002446A6" w:rsidP="00BF5393">
      <w:pPr>
        <w:spacing w:before="240" w:after="120"/>
        <w:rPr>
          <w:rFonts w:ascii="Verdana" w:hAnsi="Verdana" w:cs="Arial"/>
          <w:bCs/>
          <w:i/>
        </w:rPr>
      </w:pPr>
      <w:r w:rsidRPr="00362F9C">
        <w:rPr>
          <w:rFonts w:ascii="Verdana" w:hAnsi="Verdana" w:cs="Arial"/>
          <w:bCs/>
          <w:i/>
        </w:rPr>
        <w:t>“Over the past two decades, research studies from a range of historically disparate fields such as school reform, risk prevention, health promotion, moral education, character education, mental health, and social-emotional learning have identified research-based school improvement guidelines that converge predictable to promote safe, caring, responsive, and participatory school.”</w:t>
      </w:r>
      <w:r w:rsidRPr="00362F9C">
        <w:rPr>
          <w:rStyle w:val="EndnoteTextChar"/>
          <w:rFonts w:ascii="Verdana" w:hAnsi="Verdana" w:cs="Arial"/>
          <w:bCs/>
          <w:i/>
        </w:rPr>
        <w:t xml:space="preserve"> </w:t>
      </w:r>
      <w:r w:rsidRPr="00362F9C">
        <w:rPr>
          <w:rStyle w:val="EndnoteReference"/>
          <w:rFonts w:ascii="Verdana" w:hAnsi="Verdana" w:cs="Arial"/>
          <w:bCs/>
          <w:i/>
        </w:rPr>
        <w:endnoteReference w:id="1"/>
      </w:r>
    </w:p>
    <w:p w14:paraId="1D92394C" w14:textId="4D38C0B9" w:rsidR="003A5F40" w:rsidRPr="00362F9C" w:rsidRDefault="003A5F40" w:rsidP="00BF5393">
      <w:pPr>
        <w:pStyle w:val="Heading2"/>
        <w:spacing w:before="240" w:after="100" w:afterAutospacing="1"/>
        <w:rPr>
          <w:rFonts w:ascii="Verdana" w:hAnsi="Verdana" w:cs="Arial"/>
          <w:b/>
          <w:color w:val="auto"/>
        </w:rPr>
      </w:pPr>
      <w:r w:rsidRPr="00362F9C">
        <w:rPr>
          <w:rFonts w:ascii="Verdana" w:hAnsi="Verdana" w:cs="Arial"/>
          <w:b/>
          <w:color w:val="auto"/>
        </w:rPr>
        <w:t>P</w:t>
      </w:r>
      <w:r w:rsidR="00FB0B5B">
        <w:rPr>
          <w:rFonts w:ascii="Verdana" w:hAnsi="Verdana" w:cs="Arial"/>
          <w:b/>
          <w:color w:val="auto"/>
        </w:rPr>
        <w:t>romoting Positive School Climate:</w:t>
      </w:r>
    </w:p>
    <w:p w14:paraId="79F5D787" w14:textId="4500F699" w:rsidR="003A5F40" w:rsidRPr="00E40866" w:rsidRDefault="003A5F40" w:rsidP="0025046C">
      <w:pPr>
        <w:spacing w:after="100" w:afterAutospacing="1"/>
        <w:rPr>
          <w:rFonts w:ascii="Verdana" w:hAnsi="Verdana" w:cs="Arial"/>
          <w:bCs/>
          <w:iCs/>
        </w:rPr>
      </w:pPr>
      <w:r w:rsidRPr="00362F9C">
        <w:rPr>
          <w:rFonts w:ascii="Verdana" w:hAnsi="Verdana" w:cs="Arial"/>
          <w:bCs/>
          <w:iCs/>
        </w:rPr>
        <w:t xml:space="preserve">Schools using a </w:t>
      </w:r>
      <w:r w:rsidRPr="00362F9C">
        <w:rPr>
          <w:rFonts w:ascii="Verdana" w:hAnsi="Verdana" w:cs="Arial"/>
          <w:b/>
          <w:bCs/>
          <w:iCs/>
        </w:rPr>
        <w:t>social and emotional learning (SEL)</w:t>
      </w:r>
      <w:r w:rsidRPr="00362F9C">
        <w:rPr>
          <w:rFonts w:ascii="Verdana" w:hAnsi="Verdana" w:cs="Arial"/>
          <w:bCs/>
          <w:iCs/>
        </w:rPr>
        <w:t xml:space="preserve"> framework promote positive school climates by fostering an overall climate of inclusion, warmth, and respect. </w:t>
      </w:r>
      <w:r w:rsidRPr="00362F9C">
        <w:rPr>
          <w:rFonts w:ascii="Verdana" w:hAnsi="Verdana" w:cs="Arial"/>
          <w:b/>
          <w:bCs/>
          <w:iCs/>
        </w:rPr>
        <w:t>Positive Behavior Intervention and Support (PBIS)</w:t>
      </w:r>
      <w:r w:rsidRPr="00362F9C">
        <w:rPr>
          <w:rFonts w:ascii="Verdana" w:hAnsi="Verdana" w:cs="Arial"/>
          <w:bCs/>
          <w:iCs/>
        </w:rPr>
        <w:t xml:space="preserve"> promotes positive school climates by helping educators structure the school environment and provide students with positive reinfor</w:t>
      </w:r>
      <w:r w:rsidR="0077258F">
        <w:rPr>
          <w:rFonts w:ascii="Verdana" w:hAnsi="Verdana" w:cs="Arial"/>
          <w:bCs/>
          <w:iCs/>
        </w:rPr>
        <w:t xml:space="preserve">cement (see </w:t>
      </w:r>
      <w:hyperlink r:id="rId8" w:history="1">
        <w:r w:rsidR="0077258F" w:rsidRPr="0077258F">
          <w:rPr>
            <w:rStyle w:val="Hyperlink"/>
            <w:rFonts w:ascii="Verdana" w:hAnsi="Verdana" w:cs="Arial"/>
            <w:bCs/>
            <w:iCs/>
          </w:rPr>
          <w:t>PBIS link</w:t>
        </w:r>
      </w:hyperlink>
      <w:r w:rsidRPr="00362F9C">
        <w:rPr>
          <w:rFonts w:ascii="Verdana" w:hAnsi="Verdana" w:cs="Arial"/>
          <w:bCs/>
          <w:iCs/>
        </w:rPr>
        <w:t xml:space="preserve">). </w:t>
      </w:r>
      <w:r w:rsidRPr="00362F9C">
        <w:rPr>
          <w:rFonts w:ascii="Verdana" w:hAnsi="Verdana" w:cs="Arial"/>
          <w:b/>
          <w:bCs/>
          <w:iCs/>
        </w:rPr>
        <w:t>Restorative practices</w:t>
      </w:r>
      <w:r w:rsidRPr="00362F9C">
        <w:rPr>
          <w:rFonts w:ascii="Verdana" w:hAnsi="Verdana" w:cs="Arial"/>
          <w:bCs/>
          <w:iCs/>
        </w:rPr>
        <w:t xml:space="preserve"> help create safe learning environments by building a sense of community, resolving conflict and repairing </w:t>
      </w:r>
      <w:r w:rsidR="00E40866">
        <w:rPr>
          <w:rFonts w:ascii="Verdana" w:hAnsi="Verdana" w:cs="Arial"/>
          <w:bCs/>
          <w:iCs/>
        </w:rPr>
        <w:t>harm caused by student behavior.</w:t>
      </w:r>
    </w:p>
    <w:p w14:paraId="194E50C4" w14:textId="4E9BD701" w:rsidR="003A5F40" w:rsidRDefault="003A5F40" w:rsidP="0025046C">
      <w:pPr>
        <w:pStyle w:val="Heading2"/>
        <w:spacing w:before="240" w:after="100" w:afterAutospacing="1"/>
        <w:rPr>
          <w:rFonts w:ascii="Verdana" w:hAnsi="Verdana" w:cs="Arial"/>
          <w:b/>
          <w:color w:val="auto"/>
        </w:rPr>
      </w:pPr>
      <w:r w:rsidRPr="00362F9C">
        <w:rPr>
          <w:rFonts w:ascii="Verdana" w:hAnsi="Verdana" w:cs="Arial"/>
          <w:b/>
          <w:color w:val="auto"/>
        </w:rPr>
        <w:lastRenderedPageBreak/>
        <w:t>S</w:t>
      </w:r>
      <w:r w:rsidR="008C26B4">
        <w:rPr>
          <w:rFonts w:ascii="Verdana" w:hAnsi="Verdana" w:cs="Arial"/>
          <w:b/>
          <w:color w:val="auto"/>
        </w:rPr>
        <w:t>tudent Outcomes Associated with Positive School Climate</w:t>
      </w:r>
      <w:r w:rsidR="00A12238" w:rsidRPr="00362F9C">
        <w:rPr>
          <w:rFonts w:ascii="Verdana" w:hAnsi="Verdana" w:cs="Arial"/>
          <w:b/>
          <w:color w:val="auto"/>
        </w:rPr>
        <w:t>:</w:t>
      </w:r>
      <w:r w:rsidR="00490F72" w:rsidRPr="00362F9C">
        <w:rPr>
          <w:rStyle w:val="EndnoteReference"/>
          <w:rFonts w:ascii="Verdana" w:hAnsi="Verdana" w:cs="Arial"/>
          <w:b/>
          <w:bCs/>
          <w:color w:val="auto"/>
        </w:rPr>
        <w:endnoteReference w:id="2"/>
      </w:r>
    </w:p>
    <w:p w14:paraId="6D3E3D84" w14:textId="6F16FA6B" w:rsidR="008C26B4" w:rsidRDefault="00D74A88" w:rsidP="0077258F">
      <w:pPr>
        <w:spacing w:after="120"/>
        <w:rPr>
          <w:rFonts w:ascii="Verdana" w:hAnsi="Verdana"/>
        </w:rPr>
      </w:pPr>
      <w:r>
        <w:rPr>
          <w:rFonts w:ascii="Verdana" w:hAnsi="Verdana"/>
        </w:rPr>
        <w:t>The following outcomes increased:</w:t>
      </w:r>
    </w:p>
    <w:p w14:paraId="0FC40C42" w14:textId="3E5FC82D" w:rsidR="00D74A88" w:rsidRDefault="00D74A88" w:rsidP="0077258F">
      <w:pPr>
        <w:pStyle w:val="ListParagraph"/>
        <w:numPr>
          <w:ilvl w:val="0"/>
          <w:numId w:val="12"/>
        </w:numPr>
        <w:spacing w:after="120"/>
        <w:ind w:left="360"/>
        <w:rPr>
          <w:rFonts w:ascii="Verdana" w:hAnsi="Verdana"/>
        </w:rPr>
      </w:pPr>
      <w:r>
        <w:rPr>
          <w:rFonts w:ascii="Verdana" w:hAnsi="Verdana"/>
        </w:rPr>
        <w:t>Motivation to learn;</w:t>
      </w:r>
    </w:p>
    <w:p w14:paraId="00E3CDEE" w14:textId="41A40E51" w:rsidR="00D74A88" w:rsidRDefault="00D74A88" w:rsidP="0077258F">
      <w:pPr>
        <w:pStyle w:val="ListParagraph"/>
        <w:numPr>
          <w:ilvl w:val="0"/>
          <w:numId w:val="12"/>
        </w:numPr>
        <w:spacing w:after="120"/>
        <w:ind w:left="360"/>
        <w:rPr>
          <w:rFonts w:ascii="Verdana" w:hAnsi="Verdana"/>
        </w:rPr>
      </w:pPr>
      <w:r>
        <w:rPr>
          <w:rFonts w:ascii="Verdana" w:hAnsi="Verdana"/>
        </w:rPr>
        <w:t>Academic achievement;</w:t>
      </w:r>
    </w:p>
    <w:p w14:paraId="7B8F4056" w14:textId="405FC616" w:rsidR="00D74A88" w:rsidRDefault="00D74A88" w:rsidP="0077258F">
      <w:pPr>
        <w:pStyle w:val="ListParagraph"/>
        <w:numPr>
          <w:ilvl w:val="0"/>
          <w:numId w:val="12"/>
        </w:numPr>
        <w:spacing w:after="120"/>
        <w:ind w:left="360"/>
        <w:rPr>
          <w:rFonts w:ascii="Verdana" w:hAnsi="Verdana"/>
        </w:rPr>
      </w:pPr>
      <w:r>
        <w:rPr>
          <w:rFonts w:ascii="Verdana" w:hAnsi="Verdana"/>
        </w:rPr>
        <w:t>Attendance;</w:t>
      </w:r>
    </w:p>
    <w:p w14:paraId="353F0D8A" w14:textId="58F4A75D" w:rsidR="00D74A88" w:rsidRDefault="00D74A88" w:rsidP="0077258F">
      <w:pPr>
        <w:pStyle w:val="ListParagraph"/>
        <w:numPr>
          <w:ilvl w:val="0"/>
          <w:numId w:val="12"/>
        </w:numPr>
        <w:spacing w:after="120"/>
        <w:ind w:left="360"/>
        <w:rPr>
          <w:rFonts w:ascii="Verdana" w:hAnsi="Verdana"/>
        </w:rPr>
      </w:pPr>
      <w:r>
        <w:rPr>
          <w:rFonts w:ascii="Verdana" w:hAnsi="Verdana"/>
        </w:rPr>
        <w:t>Self-esteem; and</w:t>
      </w:r>
    </w:p>
    <w:p w14:paraId="50AB5BFC" w14:textId="13FC701D" w:rsidR="00D74A88" w:rsidRPr="00D74A88" w:rsidRDefault="00D74A88" w:rsidP="0077258F">
      <w:pPr>
        <w:pStyle w:val="ListParagraph"/>
        <w:numPr>
          <w:ilvl w:val="0"/>
          <w:numId w:val="12"/>
        </w:numPr>
        <w:spacing w:after="120"/>
        <w:ind w:left="360"/>
        <w:rPr>
          <w:rFonts w:ascii="Verdana" w:hAnsi="Verdana"/>
        </w:rPr>
      </w:pPr>
      <w:r>
        <w:rPr>
          <w:rFonts w:ascii="Verdana" w:hAnsi="Verdana"/>
        </w:rPr>
        <w:t>Resiliency</w:t>
      </w:r>
      <w:r w:rsidR="00CC18AE">
        <w:rPr>
          <w:rFonts w:ascii="Verdana" w:hAnsi="Verdana"/>
        </w:rPr>
        <w:t>.</w:t>
      </w:r>
    </w:p>
    <w:p w14:paraId="1BCCA69B" w14:textId="55D376C7" w:rsidR="003A5F40" w:rsidRDefault="00CC18AE" w:rsidP="0077258F">
      <w:pPr>
        <w:spacing w:after="120"/>
        <w:rPr>
          <w:rFonts w:ascii="Verdana" w:hAnsi="Verdana" w:cs="Arial"/>
          <w:bCs/>
        </w:rPr>
      </w:pPr>
      <w:r>
        <w:rPr>
          <w:rFonts w:ascii="Verdana" w:hAnsi="Verdana" w:cs="Arial"/>
          <w:bCs/>
        </w:rPr>
        <w:t>The following outcomes decreased:</w:t>
      </w:r>
    </w:p>
    <w:p w14:paraId="7B41A936" w14:textId="5FD3A749" w:rsidR="00CC18AE" w:rsidRDefault="00CC18AE" w:rsidP="0077258F">
      <w:pPr>
        <w:pStyle w:val="ListParagraph"/>
        <w:numPr>
          <w:ilvl w:val="0"/>
          <w:numId w:val="13"/>
        </w:numPr>
        <w:spacing w:after="120"/>
        <w:ind w:left="360"/>
        <w:rPr>
          <w:rFonts w:ascii="Verdana" w:hAnsi="Verdana" w:cs="Arial"/>
          <w:bCs/>
        </w:rPr>
      </w:pPr>
      <w:r>
        <w:rPr>
          <w:rFonts w:ascii="Verdana" w:hAnsi="Verdana" w:cs="Arial"/>
          <w:bCs/>
        </w:rPr>
        <w:t>Absenteeism;</w:t>
      </w:r>
    </w:p>
    <w:p w14:paraId="4FC5517A" w14:textId="14C969DD" w:rsidR="00CC18AE" w:rsidRDefault="00CC18AE" w:rsidP="0077258F">
      <w:pPr>
        <w:pStyle w:val="ListParagraph"/>
        <w:numPr>
          <w:ilvl w:val="0"/>
          <w:numId w:val="13"/>
        </w:numPr>
        <w:spacing w:after="120"/>
        <w:ind w:left="360"/>
        <w:rPr>
          <w:rFonts w:ascii="Verdana" w:hAnsi="Verdana" w:cs="Arial"/>
          <w:bCs/>
        </w:rPr>
      </w:pPr>
      <w:r>
        <w:rPr>
          <w:rFonts w:ascii="Verdana" w:hAnsi="Verdana" w:cs="Arial"/>
          <w:bCs/>
        </w:rPr>
        <w:t>Disciplinary referrals;</w:t>
      </w:r>
    </w:p>
    <w:p w14:paraId="55C57FEC" w14:textId="229492FD" w:rsidR="00CC18AE" w:rsidRDefault="00CC18AE" w:rsidP="0077258F">
      <w:pPr>
        <w:pStyle w:val="ListParagraph"/>
        <w:numPr>
          <w:ilvl w:val="0"/>
          <w:numId w:val="13"/>
        </w:numPr>
        <w:spacing w:after="120"/>
        <w:ind w:left="360"/>
        <w:rPr>
          <w:rFonts w:ascii="Verdana" w:hAnsi="Verdana" w:cs="Arial"/>
          <w:bCs/>
        </w:rPr>
      </w:pPr>
      <w:r>
        <w:rPr>
          <w:rFonts w:ascii="Verdana" w:hAnsi="Verdana" w:cs="Arial"/>
          <w:bCs/>
        </w:rPr>
        <w:t>Mental health concerns (e.g. anxiety, depressive symptoms, suicide ideation)</w:t>
      </w:r>
    </w:p>
    <w:p w14:paraId="0DEEF0B2" w14:textId="483404FC" w:rsidR="00CC18AE" w:rsidRDefault="00CC18AE" w:rsidP="0077258F">
      <w:pPr>
        <w:pStyle w:val="ListParagraph"/>
        <w:numPr>
          <w:ilvl w:val="0"/>
          <w:numId w:val="13"/>
        </w:numPr>
        <w:spacing w:after="120"/>
        <w:ind w:left="360"/>
        <w:rPr>
          <w:rFonts w:ascii="Verdana" w:hAnsi="Verdana" w:cs="Arial"/>
          <w:bCs/>
        </w:rPr>
      </w:pPr>
      <w:r>
        <w:rPr>
          <w:rFonts w:ascii="Verdana" w:hAnsi="Verdana" w:cs="Arial"/>
          <w:bCs/>
        </w:rPr>
        <w:t>Engagement in sexual behavior; and</w:t>
      </w:r>
    </w:p>
    <w:p w14:paraId="38D7C1D6" w14:textId="0EB01403" w:rsidR="00CC18AE" w:rsidRPr="00CC18AE" w:rsidRDefault="00CC18AE" w:rsidP="0077258F">
      <w:pPr>
        <w:pStyle w:val="ListParagraph"/>
        <w:numPr>
          <w:ilvl w:val="0"/>
          <w:numId w:val="13"/>
        </w:numPr>
        <w:spacing w:after="120"/>
        <w:ind w:left="360"/>
        <w:rPr>
          <w:rFonts w:ascii="Verdana" w:hAnsi="Verdana" w:cs="Arial"/>
          <w:bCs/>
        </w:rPr>
      </w:pPr>
      <w:r>
        <w:rPr>
          <w:rFonts w:ascii="Verdana" w:hAnsi="Verdana" w:cs="Arial"/>
          <w:bCs/>
        </w:rPr>
        <w:t xml:space="preserve">Drug use. </w:t>
      </w:r>
    </w:p>
    <w:p w14:paraId="2035ADF0" w14:textId="38085271" w:rsidR="00CE4366" w:rsidRPr="00362F9C" w:rsidRDefault="00A12238" w:rsidP="005261B6">
      <w:pPr>
        <w:pStyle w:val="Heading2"/>
        <w:spacing w:after="240"/>
        <w:rPr>
          <w:rFonts w:ascii="Verdana" w:hAnsi="Verdana" w:cs="Arial"/>
          <w:b/>
          <w:color w:val="auto"/>
        </w:rPr>
      </w:pPr>
      <w:r w:rsidRPr="00362F9C">
        <w:rPr>
          <w:rFonts w:ascii="Verdana" w:hAnsi="Verdana" w:cs="Arial"/>
          <w:b/>
          <w:color w:val="auto"/>
        </w:rPr>
        <w:t>S</w:t>
      </w:r>
      <w:r w:rsidR="00441D0A">
        <w:rPr>
          <w:rFonts w:ascii="Verdana" w:hAnsi="Verdana" w:cs="Arial"/>
          <w:b/>
          <w:color w:val="auto"/>
        </w:rPr>
        <w:t>upport for Promoting Positive School Climates:</w:t>
      </w:r>
    </w:p>
    <w:p w14:paraId="33EAD70D" w14:textId="4B956063" w:rsidR="00E73DCD" w:rsidRPr="00362F9C" w:rsidRDefault="00490F72" w:rsidP="0077258F">
      <w:pPr>
        <w:pStyle w:val="ListParagraph"/>
        <w:numPr>
          <w:ilvl w:val="0"/>
          <w:numId w:val="6"/>
        </w:numPr>
        <w:spacing w:after="120"/>
        <w:contextualSpacing w:val="0"/>
        <w:rPr>
          <w:rFonts w:ascii="Verdana" w:hAnsi="Verdana" w:cs="Arial"/>
          <w:bCs/>
        </w:rPr>
      </w:pPr>
      <w:r w:rsidRPr="00362F9C">
        <w:rPr>
          <w:rFonts w:ascii="Verdana" w:hAnsi="Verdana" w:cs="Arial"/>
          <w:bCs/>
        </w:rPr>
        <w:t>The Centers for Disease Control and Prevention (2009) recommends school climate reform as a data-driven strategy that promotes healthy relationships, school connect</w:t>
      </w:r>
      <w:r w:rsidR="00FF4A09">
        <w:rPr>
          <w:rFonts w:ascii="Verdana" w:hAnsi="Verdana" w:cs="Arial"/>
          <w:bCs/>
        </w:rPr>
        <w:t>edness, and dropout prevention.</w:t>
      </w:r>
    </w:p>
    <w:p w14:paraId="2C3C2FC4" w14:textId="520BD01C" w:rsidR="00490F72" w:rsidRPr="00362F9C" w:rsidRDefault="00490F72" w:rsidP="0077258F">
      <w:pPr>
        <w:pStyle w:val="ListParagraph"/>
        <w:numPr>
          <w:ilvl w:val="0"/>
          <w:numId w:val="6"/>
        </w:numPr>
        <w:spacing w:after="120"/>
        <w:contextualSpacing w:val="0"/>
        <w:rPr>
          <w:rFonts w:ascii="Verdana" w:hAnsi="Verdana" w:cs="Arial"/>
          <w:bCs/>
        </w:rPr>
      </w:pPr>
      <w:r w:rsidRPr="00362F9C">
        <w:rPr>
          <w:rFonts w:ascii="Verdana" w:hAnsi="Verdana" w:cs="Arial"/>
          <w:bCs/>
        </w:rPr>
        <w:t>The Institute for Educational Sciences includes school climate as a sound strategy for dropout prev</w:t>
      </w:r>
      <w:r w:rsidR="00FF4A09">
        <w:rPr>
          <w:rFonts w:ascii="Verdana" w:hAnsi="Verdana" w:cs="Arial"/>
          <w:bCs/>
        </w:rPr>
        <w:t>ention (Dynarski et al., 2008).</w:t>
      </w:r>
    </w:p>
    <w:p w14:paraId="763FB127" w14:textId="3FA7A2C7" w:rsidR="00490F72" w:rsidRPr="00362F9C" w:rsidRDefault="00490F72" w:rsidP="0077258F">
      <w:pPr>
        <w:pStyle w:val="ListParagraph"/>
        <w:numPr>
          <w:ilvl w:val="0"/>
          <w:numId w:val="6"/>
        </w:numPr>
        <w:spacing w:after="120"/>
        <w:contextualSpacing w:val="0"/>
        <w:rPr>
          <w:rFonts w:ascii="Verdana" w:hAnsi="Verdana" w:cs="Arial"/>
          <w:bCs/>
        </w:rPr>
      </w:pPr>
      <w:r w:rsidRPr="00362F9C">
        <w:rPr>
          <w:rFonts w:ascii="Verdana" w:hAnsi="Verdana" w:cs="Arial"/>
          <w:bCs/>
        </w:rPr>
        <w:t>The U.S. Department of Education (2007) has invested in the S</w:t>
      </w:r>
      <w:r w:rsidR="00A0306B" w:rsidRPr="00362F9C">
        <w:rPr>
          <w:rFonts w:ascii="Verdana" w:hAnsi="Verdana" w:cs="Arial"/>
          <w:bCs/>
        </w:rPr>
        <w:t xml:space="preserve">afe and Supportive Schools </w:t>
      </w:r>
      <w:r w:rsidRPr="00362F9C">
        <w:rPr>
          <w:rFonts w:ascii="Verdana" w:hAnsi="Verdana" w:cs="Arial"/>
          <w:bCs/>
        </w:rPr>
        <w:t>grant program to support statewide school climate measurement and the study of school climate i</w:t>
      </w:r>
      <w:r w:rsidR="002C4FB2">
        <w:rPr>
          <w:rFonts w:ascii="Verdana" w:hAnsi="Verdana" w:cs="Arial"/>
          <w:bCs/>
        </w:rPr>
        <w:t>mprovement efforts.</w:t>
      </w:r>
    </w:p>
    <w:p w14:paraId="2877660F" w14:textId="714309BB" w:rsidR="003A5F40" w:rsidRPr="002C4FB2" w:rsidRDefault="00490F72" w:rsidP="002C4FB2">
      <w:pPr>
        <w:pStyle w:val="ListParagraph"/>
        <w:numPr>
          <w:ilvl w:val="0"/>
          <w:numId w:val="6"/>
        </w:numPr>
        <w:spacing w:after="240"/>
        <w:contextualSpacing w:val="0"/>
        <w:rPr>
          <w:rFonts w:ascii="Verdana" w:hAnsi="Verdana" w:cs="Arial"/>
          <w:bCs/>
        </w:rPr>
      </w:pPr>
      <w:r w:rsidRPr="00362F9C">
        <w:rPr>
          <w:rFonts w:ascii="Verdana" w:hAnsi="Verdana" w:cs="Arial"/>
          <w:bCs/>
        </w:rPr>
        <w:t>A growing number of State Departments of Education are focusing on school climate reform as an essential component of school impro</w:t>
      </w:r>
      <w:r w:rsidR="002C4FB2">
        <w:rPr>
          <w:rFonts w:ascii="Verdana" w:hAnsi="Verdana" w:cs="Arial"/>
          <w:bCs/>
        </w:rPr>
        <w:t>vement and/or bully prevention.</w:t>
      </w:r>
    </w:p>
    <w:p w14:paraId="47C524BC" w14:textId="3E20B62E" w:rsidR="00F55C87" w:rsidRPr="00362F9C" w:rsidRDefault="00441D0A" w:rsidP="0077258F">
      <w:pPr>
        <w:pStyle w:val="Heading2"/>
        <w:spacing w:after="100" w:afterAutospacing="1"/>
        <w:rPr>
          <w:rFonts w:ascii="Verdana" w:hAnsi="Verdana" w:cs="Arial"/>
          <w:b/>
          <w:color w:val="auto"/>
        </w:rPr>
      </w:pPr>
      <w:r>
        <w:rPr>
          <w:rFonts w:ascii="Verdana" w:hAnsi="Verdana" w:cs="Arial"/>
          <w:b/>
          <w:color w:val="auto"/>
        </w:rPr>
        <w:t>Resources</w:t>
      </w:r>
      <w:r w:rsidR="003D0CBD" w:rsidRPr="00362F9C">
        <w:rPr>
          <w:rFonts w:ascii="Verdana" w:hAnsi="Verdana" w:cs="Arial"/>
          <w:b/>
          <w:color w:val="auto"/>
        </w:rPr>
        <w:t>:</w:t>
      </w:r>
    </w:p>
    <w:p w14:paraId="2450C105" w14:textId="17F93A1D" w:rsidR="007A025F" w:rsidRPr="00362F9C" w:rsidRDefault="00441D0A" w:rsidP="0077258F">
      <w:pPr>
        <w:pStyle w:val="Heading3"/>
        <w:rPr>
          <w:rFonts w:ascii="Verdana" w:hAnsi="Verdana" w:cs="Arial"/>
          <w:b/>
          <w:color w:val="auto"/>
        </w:rPr>
      </w:pPr>
      <w:r>
        <w:rPr>
          <w:rFonts w:ascii="Verdana" w:hAnsi="Verdana" w:cs="Arial"/>
          <w:b/>
          <w:color w:val="auto"/>
        </w:rPr>
        <w:t>Texas</w:t>
      </w:r>
    </w:p>
    <w:p w14:paraId="5BC3B3AD" w14:textId="43C5CBD3" w:rsidR="007A025F" w:rsidRPr="00362F9C" w:rsidRDefault="007A025F" w:rsidP="0077258F">
      <w:pPr>
        <w:ind w:left="720"/>
        <w:rPr>
          <w:rFonts w:ascii="Verdana" w:hAnsi="Verdana" w:cs="Arial"/>
          <w:b/>
          <w:bCs/>
        </w:rPr>
      </w:pPr>
      <w:r w:rsidRPr="00362F9C">
        <w:rPr>
          <w:rFonts w:ascii="Verdana" w:hAnsi="Verdana" w:cs="Arial"/>
          <w:b/>
          <w:bCs/>
        </w:rPr>
        <w:t xml:space="preserve">Texas Behavior Support – Region 4 Education Service Center </w:t>
      </w:r>
    </w:p>
    <w:p w14:paraId="2812CDB5" w14:textId="0E11E9DE" w:rsidR="007A025F" w:rsidRPr="00362F9C" w:rsidRDefault="00112345" w:rsidP="00577B93">
      <w:pPr>
        <w:spacing w:after="240"/>
        <w:ind w:left="720"/>
        <w:rPr>
          <w:rFonts w:ascii="Verdana" w:hAnsi="Verdana" w:cs="Arial"/>
          <w:bCs/>
        </w:rPr>
      </w:pPr>
      <w:hyperlink r:id="rId9" w:history="1">
        <w:r w:rsidR="00A90325" w:rsidRPr="00A90325">
          <w:rPr>
            <w:rStyle w:val="Hyperlink"/>
            <w:rFonts w:ascii="Verdana" w:hAnsi="Verdana" w:cs="Arial"/>
            <w:bCs/>
          </w:rPr>
          <w:t>Texas Behavior Support Link</w:t>
        </w:r>
      </w:hyperlink>
    </w:p>
    <w:p w14:paraId="030772A0" w14:textId="528FAB60" w:rsidR="007A025F" w:rsidRPr="00362F9C" w:rsidRDefault="007A025F" w:rsidP="002A13AC">
      <w:pPr>
        <w:spacing w:after="240"/>
        <w:ind w:left="720"/>
        <w:rPr>
          <w:rFonts w:ascii="Verdana" w:hAnsi="Verdana" w:cs="Arial"/>
          <w:bCs/>
        </w:rPr>
      </w:pPr>
      <w:r w:rsidRPr="00362F9C">
        <w:rPr>
          <w:rFonts w:ascii="Verdana" w:hAnsi="Verdana" w:cs="Arial"/>
          <w:bCs/>
        </w:rPr>
        <w:t xml:space="preserve">The </w:t>
      </w:r>
      <w:r w:rsidRPr="00362F9C">
        <w:rPr>
          <w:rFonts w:ascii="Verdana" w:hAnsi="Verdana" w:cs="Arial"/>
          <w:b/>
          <w:bCs/>
        </w:rPr>
        <w:t>Texas Behavior Support (TBS) Network</w:t>
      </w:r>
      <w:r w:rsidRPr="00362F9C">
        <w:rPr>
          <w:rFonts w:ascii="Verdana" w:hAnsi="Verdana" w:cs="Arial"/>
          <w:bCs/>
        </w:rPr>
        <w:t xml:space="preserve"> works to create a system of PBIS for students with disabilities and all students attending Texas public schools.  Although the original focus of TBS was to support the behavior needs of students with disabilities, it quickly became evident in examining the newly expanding PBIS model that in order to address the needs of children in special education, prevention </w:t>
      </w:r>
      <w:r w:rsidRPr="00362F9C">
        <w:rPr>
          <w:rFonts w:ascii="Verdana" w:hAnsi="Verdana" w:cs="Arial"/>
          <w:bCs/>
        </w:rPr>
        <w:lastRenderedPageBreak/>
        <w:t>interventions had to be implemented for all students.  Therefore, the TBS Network adopted PBIS as its philosophical foundation and supports all three tiers of the model, including school-wide and classroom.</w:t>
      </w:r>
    </w:p>
    <w:p w14:paraId="4478A423" w14:textId="6E8755C2" w:rsidR="004D0086" w:rsidRPr="00066D90" w:rsidRDefault="007A025F" w:rsidP="00066D90">
      <w:pPr>
        <w:spacing w:after="240"/>
        <w:ind w:left="720"/>
        <w:rPr>
          <w:rFonts w:ascii="Verdana" w:hAnsi="Verdana" w:cs="Arial"/>
          <w:bCs/>
        </w:rPr>
      </w:pPr>
      <w:r w:rsidRPr="00362F9C">
        <w:rPr>
          <w:rFonts w:ascii="Verdana" w:hAnsi="Verdana" w:cs="Arial"/>
          <w:bCs/>
        </w:rPr>
        <w:t xml:space="preserve">The </w:t>
      </w:r>
      <w:r w:rsidRPr="00362F9C">
        <w:rPr>
          <w:rFonts w:ascii="Verdana" w:hAnsi="Verdana" w:cs="Arial"/>
          <w:b/>
          <w:bCs/>
        </w:rPr>
        <w:t>Texas Behavior Support Initiative (TBSI)</w:t>
      </w:r>
      <w:r w:rsidRPr="00362F9C">
        <w:rPr>
          <w:rFonts w:ascii="Verdana" w:hAnsi="Verdana" w:cs="Arial"/>
          <w:bCs/>
        </w:rPr>
        <w:t xml:space="preserve"> is a state-level training designed to provide foundational knowledge for the use of positive behavior interventions and supports for all students, including those with disabilities. The training meets legislative requirements related to procedures for the use of restraint and time-out, and also provides a framework for sharing a wide range of foundation-level behavior strategies and prevention-based school-wide, classroom, and individual interventions.</w:t>
      </w:r>
    </w:p>
    <w:p w14:paraId="58EC30A3" w14:textId="7EFCDA93" w:rsidR="0070497C" w:rsidRDefault="0070497C" w:rsidP="0077258F">
      <w:pPr>
        <w:ind w:left="720"/>
        <w:rPr>
          <w:rFonts w:ascii="Verdana" w:hAnsi="Verdana" w:cs="Arial"/>
          <w:b/>
          <w:bCs/>
        </w:rPr>
      </w:pPr>
      <w:r w:rsidRPr="00362F9C">
        <w:rPr>
          <w:rFonts w:ascii="Verdana" w:hAnsi="Verdana" w:cs="Arial"/>
          <w:b/>
          <w:bCs/>
        </w:rPr>
        <w:t>The Institute for Restorative Justice and Restorative Dialogue (IRJRD)</w:t>
      </w:r>
    </w:p>
    <w:p w14:paraId="017C5716" w14:textId="19A8746E" w:rsidR="0070497C" w:rsidRPr="00362F9C" w:rsidRDefault="00112345" w:rsidP="00066D90">
      <w:pPr>
        <w:spacing w:after="240"/>
        <w:ind w:left="720"/>
        <w:rPr>
          <w:rFonts w:ascii="Verdana" w:hAnsi="Verdana" w:cs="Arial"/>
          <w:bCs/>
        </w:rPr>
      </w:pPr>
      <w:hyperlink r:id="rId10" w:history="1">
        <w:r w:rsidR="0077258F" w:rsidRPr="0077258F">
          <w:rPr>
            <w:rStyle w:val="Hyperlink"/>
            <w:rFonts w:ascii="Verdana" w:hAnsi="Verdana" w:cs="Arial"/>
            <w:bCs/>
          </w:rPr>
          <w:t>Institute for Restorative Ju</w:t>
        </w:r>
        <w:r w:rsidR="00476FE9">
          <w:rPr>
            <w:rStyle w:val="Hyperlink"/>
            <w:rFonts w:ascii="Verdana" w:hAnsi="Verdana" w:cs="Arial"/>
            <w:bCs/>
          </w:rPr>
          <w:t>stice and Restorative Dialogue L</w:t>
        </w:r>
        <w:r w:rsidR="0077258F" w:rsidRPr="0077258F">
          <w:rPr>
            <w:rStyle w:val="Hyperlink"/>
            <w:rFonts w:ascii="Verdana" w:hAnsi="Verdana" w:cs="Arial"/>
            <w:bCs/>
          </w:rPr>
          <w:t>ink</w:t>
        </w:r>
      </w:hyperlink>
    </w:p>
    <w:p w14:paraId="0BEEB25C" w14:textId="45AE9DA8" w:rsidR="0070497C" w:rsidRPr="00362F9C" w:rsidRDefault="00441D0A" w:rsidP="004E7B21">
      <w:pPr>
        <w:spacing w:after="240"/>
        <w:ind w:left="720"/>
        <w:rPr>
          <w:rFonts w:ascii="Verdana" w:hAnsi="Verdana" w:cs="Arial"/>
          <w:bCs/>
        </w:rPr>
      </w:pPr>
      <w:r>
        <w:rPr>
          <w:rFonts w:ascii="Verdana" w:hAnsi="Verdana" w:cs="Arial"/>
          <w:bCs/>
        </w:rPr>
        <w:t>The</w:t>
      </w:r>
      <w:r w:rsidR="0070497C" w:rsidRPr="00362F9C">
        <w:rPr>
          <w:rFonts w:ascii="Verdana" w:hAnsi="Verdana" w:cs="Arial"/>
          <w:bCs/>
        </w:rPr>
        <w:t xml:space="preserve"> University of Texas at Austin’s Institute for Restorative Justice and Restorative Dialogue offers resources to help schools implement restorative discipline practices, a prevention-oriented approach to resolve school conflict such as bullying, truancy and disruptive behavior.</w:t>
      </w:r>
    </w:p>
    <w:p w14:paraId="5F3D2193" w14:textId="473E0069" w:rsidR="0070497C" w:rsidRPr="00362F9C" w:rsidRDefault="0070497C" w:rsidP="0077258F">
      <w:pPr>
        <w:ind w:left="720"/>
        <w:rPr>
          <w:rFonts w:ascii="Verdana" w:hAnsi="Verdana" w:cs="Arial"/>
          <w:b/>
          <w:bCs/>
        </w:rPr>
      </w:pPr>
      <w:r w:rsidRPr="00362F9C">
        <w:rPr>
          <w:rFonts w:ascii="Verdana" w:hAnsi="Verdana" w:cs="Arial"/>
          <w:b/>
          <w:bCs/>
        </w:rPr>
        <w:t>A Model Comprehensive, Developmental Guidance and Counseling Program for Texas Schools</w:t>
      </w:r>
    </w:p>
    <w:p w14:paraId="7F9F71AC" w14:textId="6441A6F3" w:rsidR="0070497C" w:rsidRPr="00362F9C" w:rsidRDefault="00112345" w:rsidP="004E7B21">
      <w:pPr>
        <w:spacing w:after="240"/>
        <w:ind w:left="720"/>
        <w:rPr>
          <w:rFonts w:ascii="Verdana" w:hAnsi="Verdana" w:cs="Arial"/>
          <w:bCs/>
        </w:rPr>
      </w:pPr>
      <w:hyperlink r:id="rId11" w:tooltip="https://www.txca.org/tca/default.asp" w:history="1">
        <w:r w:rsidR="00476FE9" w:rsidRPr="00476FE9">
          <w:rPr>
            <w:rStyle w:val="Hyperlink"/>
            <w:rFonts w:ascii="Verdana" w:hAnsi="Verdana" w:cs="Arial"/>
            <w:bCs/>
          </w:rPr>
          <w:t>Texas Counseling Association Link</w:t>
        </w:r>
      </w:hyperlink>
    </w:p>
    <w:p w14:paraId="2FFB9A39" w14:textId="2B26CA24" w:rsidR="003A5F40" w:rsidRPr="00476FE9" w:rsidRDefault="0070497C" w:rsidP="00476FE9">
      <w:pPr>
        <w:spacing w:after="240"/>
        <w:ind w:left="720"/>
        <w:rPr>
          <w:rFonts w:ascii="Verdana" w:hAnsi="Verdana" w:cs="Arial"/>
          <w:bCs/>
        </w:rPr>
      </w:pPr>
      <w:r w:rsidRPr="00362F9C">
        <w:rPr>
          <w:rFonts w:ascii="Verdana" w:hAnsi="Verdana" w:cs="Arial"/>
          <w:bCs/>
        </w:rPr>
        <w:t>Texas Education Code Sec. 33.005 requires school counselors to plan, implement and evaluate a developmental guidance and counseling program. This guide was developed to serve as a model for high quality comprehensive, developmental school guidance and counseling programs and is designed to help students acquire age-appropriate knowledge and skills which are associated with positive school climates, such as self-confidence development; motivation to achieve; decision-making; interpersonal effectiveness; communication skills; cross-cultural effectiveness; and responsible behavior.</w:t>
      </w:r>
    </w:p>
    <w:p w14:paraId="162936F8" w14:textId="3F000FAD" w:rsidR="007A025F" w:rsidRPr="00DB0CB3" w:rsidRDefault="008A433C" w:rsidP="00DB0CB3">
      <w:pPr>
        <w:pStyle w:val="Heading3"/>
        <w:spacing w:after="240"/>
        <w:rPr>
          <w:rFonts w:ascii="Verdana" w:hAnsi="Verdana" w:cs="Arial"/>
          <w:b/>
          <w:color w:val="auto"/>
        </w:rPr>
      </w:pPr>
      <w:r w:rsidRPr="00362F9C">
        <w:rPr>
          <w:rFonts w:ascii="Verdana" w:hAnsi="Verdana" w:cs="Arial"/>
          <w:b/>
          <w:color w:val="auto"/>
        </w:rPr>
        <w:t>N</w:t>
      </w:r>
      <w:r w:rsidR="00441D0A">
        <w:rPr>
          <w:rFonts w:ascii="Verdana" w:hAnsi="Verdana" w:cs="Arial"/>
          <w:b/>
          <w:color w:val="auto"/>
        </w:rPr>
        <w:t>ational</w:t>
      </w:r>
    </w:p>
    <w:p w14:paraId="794F3A35" w14:textId="31C18CEB" w:rsidR="00C23B54" w:rsidRPr="00362F9C" w:rsidRDefault="00C23B54" w:rsidP="0077258F">
      <w:pPr>
        <w:ind w:left="720"/>
        <w:rPr>
          <w:rFonts w:ascii="Verdana" w:hAnsi="Verdana" w:cs="Arial"/>
          <w:b/>
          <w:bCs/>
        </w:rPr>
      </w:pPr>
      <w:r w:rsidRPr="00362F9C">
        <w:rPr>
          <w:rFonts w:ascii="Verdana" w:hAnsi="Verdana" w:cs="Arial"/>
          <w:b/>
          <w:bCs/>
        </w:rPr>
        <w:t>CASEL Guide to Effective Social and Emotional Learning Programs</w:t>
      </w:r>
    </w:p>
    <w:p w14:paraId="6F78F18C" w14:textId="3B200289" w:rsidR="00C23B54" w:rsidRPr="00362F9C" w:rsidRDefault="00112345" w:rsidP="00E83B28">
      <w:pPr>
        <w:ind w:left="720"/>
        <w:rPr>
          <w:rFonts w:ascii="Verdana" w:hAnsi="Verdana" w:cs="Arial"/>
          <w:bCs/>
        </w:rPr>
      </w:pPr>
      <w:hyperlink r:id="rId12" w:history="1">
        <w:r w:rsidR="00DB0CB3" w:rsidRPr="00DB0CB3">
          <w:rPr>
            <w:rStyle w:val="Hyperlink"/>
            <w:rFonts w:ascii="Verdana" w:hAnsi="Verdana" w:cs="Arial"/>
            <w:bCs/>
          </w:rPr>
          <w:t>CASEL Link</w:t>
        </w:r>
      </w:hyperlink>
    </w:p>
    <w:p w14:paraId="47F592B3" w14:textId="77777777" w:rsidR="00C23B54" w:rsidRPr="00362F9C" w:rsidRDefault="00C23B54" w:rsidP="00E83B28">
      <w:pPr>
        <w:spacing w:before="240"/>
        <w:ind w:left="720"/>
        <w:rPr>
          <w:rFonts w:ascii="Verdana" w:hAnsi="Verdana" w:cs="Arial"/>
          <w:bCs/>
        </w:rPr>
      </w:pPr>
      <w:r w:rsidRPr="00362F9C">
        <w:rPr>
          <w:rFonts w:ascii="Verdana" w:hAnsi="Verdana" w:cs="Arial"/>
          <w:bCs/>
        </w:rPr>
        <w:lastRenderedPageBreak/>
        <w:t>The Collaborative for Academic, Social, and Emotional Learning (CASEL)</w:t>
      </w:r>
    </w:p>
    <w:p w14:paraId="62726C6E" w14:textId="063290A3" w:rsidR="003A5F40" w:rsidRPr="00362F9C" w:rsidRDefault="00C23B54" w:rsidP="00AB77FD">
      <w:pPr>
        <w:spacing w:after="240"/>
        <w:ind w:left="720"/>
        <w:rPr>
          <w:rFonts w:ascii="Verdana" w:hAnsi="Verdana" w:cs="Arial"/>
          <w:b/>
          <w:bCs/>
        </w:rPr>
      </w:pPr>
      <w:r w:rsidRPr="00362F9C">
        <w:rPr>
          <w:rFonts w:ascii="Verdana" w:hAnsi="Verdana" w:cs="Arial"/>
          <w:bCs/>
        </w:rPr>
        <w:t>Guide provides a systematic framework for evaluating the quality of social and emotional programs and applies this framework to identify and rate well-designed, evidence-based SEL programs with potential for broad dissemination to schools across the United States. The Guide also shares best-practice guidelines for district and school teams on how to sel</w:t>
      </w:r>
      <w:r w:rsidR="00AB77FD">
        <w:rPr>
          <w:rFonts w:ascii="Verdana" w:hAnsi="Verdana" w:cs="Arial"/>
          <w:bCs/>
        </w:rPr>
        <w:t>ect and implement SEL programs.</w:t>
      </w:r>
    </w:p>
    <w:p w14:paraId="3D9A6659" w14:textId="5CE37855" w:rsidR="00784138" w:rsidRPr="00362F9C" w:rsidRDefault="00F55C87" w:rsidP="00AB77FD">
      <w:pPr>
        <w:spacing w:after="240"/>
        <w:ind w:left="720"/>
        <w:rPr>
          <w:rFonts w:ascii="Verdana" w:hAnsi="Verdana" w:cs="Arial"/>
          <w:b/>
          <w:bCs/>
        </w:rPr>
      </w:pPr>
      <w:r w:rsidRPr="00362F9C">
        <w:rPr>
          <w:rFonts w:ascii="Verdana" w:hAnsi="Verdana" w:cs="Arial"/>
          <w:b/>
          <w:bCs/>
        </w:rPr>
        <w:t>Centers for Disea</w:t>
      </w:r>
      <w:r w:rsidR="00784138" w:rsidRPr="00362F9C">
        <w:rPr>
          <w:rFonts w:ascii="Verdana" w:hAnsi="Verdana" w:cs="Arial"/>
          <w:b/>
          <w:bCs/>
        </w:rPr>
        <w:t xml:space="preserve">se Control and Prevention (CDC) - </w:t>
      </w:r>
      <w:r w:rsidRPr="00362F9C">
        <w:rPr>
          <w:rFonts w:ascii="Verdana" w:hAnsi="Verdana" w:cs="Arial"/>
          <w:b/>
          <w:bCs/>
        </w:rPr>
        <w:t>School Connectedness Resources</w:t>
      </w:r>
    </w:p>
    <w:p w14:paraId="78A7F7FE" w14:textId="3EAD274E" w:rsidR="006E42D9" w:rsidRPr="006E42D9" w:rsidRDefault="00F55C87" w:rsidP="006E42D9">
      <w:pPr>
        <w:pStyle w:val="ListParagraph"/>
        <w:numPr>
          <w:ilvl w:val="0"/>
          <w:numId w:val="8"/>
        </w:numPr>
        <w:spacing w:after="120"/>
        <w:ind w:left="1080"/>
        <w:contextualSpacing w:val="0"/>
        <w:rPr>
          <w:rFonts w:ascii="Verdana" w:hAnsi="Verdana" w:cs="Arial"/>
          <w:bCs/>
        </w:rPr>
      </w:pPr>
      <w:r w:rsidRPr="006E42D9">
        <w:rPr>
          <w:rFonts w:ascii="Verdana" w:hAnsi="Verdana" w:cs="Arial"/>
          <w:bCs/>
        </w:rPr>
        <w:t>Fact Sheet: For School Districts and School Administrators</w:t>
      </w:r>
      <w:r w:rsidRPr="00362F9C">
        <w:rPr>
          <w:rFonts w:ascii="Verdana" w:hAnsi="Verdana" w:cs="Arial"/>
          <w:bCs/>
        </w:rPr>
        <w:t xml:space="preserve"> </w:t>
      </w:r>
      <w:r w:rsidR="006E42D9">
        <w:rPr>
          <w:rFonts w:ascii="Verdana" w:hAnsi="Verdana" w:cs="Arial"/>
          <w:bCs/>
        </w:rPr>
        <w:t>–</w:t>
      </w:r>
      <w:r w:rsidRPr="00362F9C">
        <w:rPr>
          <w:rFonts w:ascii="Verdana" w:hAnsi="Verdana" w:cs="Arial"/>
          <w:bCs/>
        </w:rPr>
        <w:t xml:space="preserve"> </w:t>
      </w:r>
      <w:hyperlink r:id="rId13" w:history="1">
        <w:r w:rsidR="006E42D9" w:rsidRPr="006E42D9">
          <w:rPr>
            <w:rStyle w:val="Hyperlink"/>
            <w:rFonts w:ascii="Verdana" w:hAnsi="Verdana" w:cs="Arial"/>
            <w:bCs/>
          </w:rPr>
          <w:t>Fact Sheet Link</w:t>
        </w:r>
      </w:hyperlink>
    </w:p>
    <w:p w14:paraId="487F300D" w14:textId="24B92697" w:rsidR="00F55C87" w:rsidRPr="00362F9C" w:rsidRDefault="00F55C87" w:rsidP="0077258F">
      <w:pPr>
        <w:pStyle w:val="ListParagraph"/>
        <w:numPr>
          <w:ilvl w:val="0"/>
          <w:numId w:val="8"/>
        </w:numPr>
        <w:spacing w:after="120"/>
        <w:ind w:left="1080"/>
        <w:contextualSpacing w:val="0"/>
        <w:rPr>
          <w:rFonts w:ascii="Verdana" w:hAnsi="Verdana" w:cs="Arial"/>
          <w:bCs/>
        </w:rPr>
      </w:pPr>
      <w:r w:rsidRPr="00362F9C">
        <w:rPr>
          <w:rFonts w:ascii="Verdana" w:hAnsi="Verdana" w:cs="Arial"/>
          <w:bCs/>
        </w:rPr>
        <w:t xml:space="preserve">Fact Sheet: For Teachers and Other School Staff </w:t>
      </w:r>
      <w:r w:rsidR="006E42D9">
        <w:rPr>
          <w:rFonts w:ascii="Verdana" w:hAnsi="Verdana" w:cs="Arial"/>
          <w:bCs/>
        </w:rPr>
        <w:t>–</w:t>
      </w:r>
      <w:r w:rsidRPr="00362F9C">
        <w:rPr>
          <w:rFonts w:ascii="Verdana" w:hAnsi="Verdana" w:cs="Arial"/>
          <w:bCs/>
        </w:rPr>
        <w:t xml:space="preserve"> </w:t>
      </w:r>
      <w:hyperlink r:id="rId14" w:history="1">
        <w:r w:rsidR="006E42D9" w:rsidRPr="006E42D9">
          <w:rPr>
            <w:rStyle w:val="Hyperlink"/>
            <w:rFonts w:ascii="Verdana" w:hAnsi="Verdana" w:cs="Arial"/>
            <w:bCs/>
          </w:rPr>
          <w:t>Fact Sheet Link</w:t>
        </w:r>
      </w:hyperlink>
      <w:r w:rsidR="006E42D9">
        <w:rPr>
          <w:rFonts w:ascii="Verdana" w:hAnsi="Verdana" w:cs="Arial"/>
          <w:bCs/>
        </w:rPr>
        <w:t xml:space="preserve"> </w:t>
      </w:r>
    </w:p>
    <w:p w14:paraId="52633A76" w14:textId="2F9EF2CE" w:rsidR="00F55C87" w:rsidRPr="00362F9C" w:rsidRDefault="00F55C87" w:rsidP="0077258F">
      <w:pPr>
        <w:pStyle w:val="ListParagraph"/>
        <w:numPr>
          <w:ilvl w:val="0"/>
          <w:numId w:val="8"/>
        </w:numPr>
        <w:spacing w:after="120"/>
        <w:ind w:left="1080"/>
        <w:contextualSpacing w:val="0"/>
        <w:rPr>
          <w:rFonts w:ascii="Verdana" w:hAnsi="Verdana" w:cs="Arial"/>
          <w:bCs/>
        </w:rPr>
      </w:pPr>
      <w:r w:rsidRPr="00362F9C">
        <w:rPr>
          <w:rFonts w:ascii="Verdana" w:hAnsi="Verdana" w:cs="Arial"/>
          <w:bCs/>
        </w:rPr>
        <w:t>Fact Sh</w:t>
      </w:r>
      <w:r w:rsidR="006E42D9">
        <w:rPr>
          <w:rFonts w:ascii="Verdana" w:hAnsi="Verdana" w:cs="Arial"/>
          <w:bCs/>
        </w:rPr>
        <w:t xml:space="preserve">eet: For Parents and Families – </w:t>
      </w:r>
      <w:hyperlink r:id="rId15" w:history="1">
        <w:r w:rsidR="006E42D9" w:rsidRPr="006E42D9">
          <w:rPr>
            <w:rStyle w:val="Hyperlink"/>
            <w:rFonts w:ascii="Verdana" w:hAnsi="Verdana" w:cs="Arial"/>
            <w:bCs/>
          </w:rPr>
          <w:t>Fact Sheet Link</w:t>
        </w:r>
      </w:hyperlink>
      <w:r w:rsidR="006E42D9">
        <w:rPr>
          <w:rFonts w:ascii="Verdana" w:hAnsi="Verdana" w:cs="Arial"/>
          <w:bCs/>
        </w:rPr>
        <w:t xml:space="preserve"> </w:t>
      </w:r>
    </w:p>
    <w:p w14:paraId="43C6B59B" w14:textId="4EC00A7F" w:rsidR="00F55C87" w:rsidRPr="00362F9C" w:rsidRDefault="00F55C87" w:rsidP="0077258F">
      <w:pPr>
        <w:pStyle w:val="ListParagraph"/>
        <w:numPr>
          <w:ilvl w:val="0"/>
          <w:numId w:val="8"/>
        </w:numPr>
        <w:spacing w:after="120"/>
        <w:ind w:left="1080"/>
        <w:contextualSpacing w:val="0"/>
        <w:rPr>
          <w:rFonts w:ascii="Verdana" w:hAnsi="Verdana" w:cs="Arial"/>
          <w:bCs/>
        </w:rPr>
      </w:pPr>
      <w:r w:rsidRPr="00362F9C">
        <w:rPr>
          <w:rFonts w:ascii="Verdana" w:hAnsi="Verdana" w:cs="Arial"/>
          <w:bCs/>
        </w:rPr>
        <w:t xml:space="preserve">School Connectedness: Strategies for Increasing Protective Factors Among Youth </w:t>
      </w:r>
      <w:r w:rsidR="006E42D9">
        <w:rPr>
          <w:rFonts w:ascii="Verdana" w:hAnsi="Verdana" w:cs="Arial"/>
          <w:bCs/>
        </w:rPr>
        <w:t>–</w:t>
      </w:r>
      <w:r w:rsidRPr="00362F9C">
        <w:rPr>
          <w:rFonts w:ascii="Verdana" w:hAnsi="Verdana" w:cs="Arial"/>
          <w:bCs/>
        </w:rPr>
        <w:t xml:space="preserve"> </w:t>
      </w:r>
      <w:hyperlink r:id="rId16" w:history="1">
        <w:r w:rsidR="006E42D9" w:rsidRPr="006E42D9">
          <w:rPr>
            <w:rStyle w:val="Hyperlink"/>
            <w:rFonts w:ascii="Verdana" w:hAnsi="Verdana" w:cs="Arial"/>
            <w:bCs/>
          </w:rPr>
          <w:t>School Connectedness Link</w:t>
        </w:r>
      </w:hyperlink>
    </w:p>
    <w:p w14:paraId="0B027251" w14:textId="5A073103" w:rsidR="00376C44" w:rsidRPr="00E66C39" w:rsidRDefault="00F55C87" w:rsidP="00E66C39">
      <w:pPr>
        <w:pStyle w:val="ListParagraph"/>
        <w:numPr>
          <w:ilvl w:val="0"/>
          <w:numId w:val="8"/>
        </w:numPr>
        <w:spacing w:after="240"/>
        <w:ind w:left="1080"/>
        <w:contextualSpacing w:val="0"/>
        <w:rPr>
          <w:rFonts w:ascii="Verdana" w:hAnsi="Verdana" w:cs="Arial"/>
          <w:bCs/>
        </w:rPr>
      </w:pPr>
      <w:r w:rsidRPr="00362F9C">
        <w:rPr>
          <w:rFonts w:ascii="Verdana" w:hAnsi="Verdana" w:cs="Arial"/>
          <w:bCs/>
        </w:rPr>
        <w:t xml:space="preserve">Fostering School Connectedness: Staff Development Program Facilitator's Guide </w:t>
      </w:r>
      <w:r w:rsidR="006E42D9">
        <w:rPr>
          <w:rFonts w:ascii="Verdana" w:hAnsi="Verdana" w:cs="Arial"/>
          <w:bCs/>
        </w:rPr>
        <w:t>–</w:t>
      </w:r>
      <w:r w:rsidRPr="00362F9C">
        <w:rPr>
          <w:rFonts w:ascii="Verdana" w:hAnsi="Verdana" w:cs="Arial"/>
          <w:bCs/>
        </w:rPr>
        <w:t xml:space="preserve"> </w:t>
      </w:r>
      <w:hyperlink r:id="rId17" w:history="1">
        <w:r w:rsidR="006E42D9" w:rsidRPr="006E42D9">
          <w:rPr>
            <w:rStyle w:val="Hyperlink"/>
            <w:rFonts w:ascii="Verdana" w:hAnsi="Verdana" w:cs="Arial"/>
            <w:bCs/>
          </w:rPr>
          <w:t>Fostering School Connectedness Link</w:t>
        </w:r>
      </w:hyperlink>
      <w:r w:rsidR="006E42D9">
        <w:rPr>
          <w:rFonts w:ascii="Verdana" w:hAnsi="Verdana" w:cs="Arial"/>
          <w:bCs/>
        </w:rPr>
        <w:t xml:space="preserve"> </w:t>
      </w:r>
    </w:p>
    <w:p w14:paraId="2F6630A5" w14:textId="4B8D1D01" w:rsidR="0070497C" w:rsidRPr="00362F9C" w:rsidRDefault="00E66C39" w:rsidP="0077258F">
      <w:pPr>
        <w:ind w:left="720"/>
        <w:rPr>
          <w:rFonts w:ascii="Verdana" w:hAnsi="Verdana" w:cs="Arial"/>
          <w:b/>
          <w:bCs/>
        </w:rPr>
      </w:pPr>
      <w:r>
        <w:rPr>
          <w:rFonts w:ascii="Verdana" w:hAnsi="Verdana" w:cs="Arial"/>
          <w:b/>
          <w:bCs/>
        </w:rPr>
        <w:t xml:space="preserve">ASCD's Whole Child </w:t>
      </w:r>
      <w:r w:rsidR="0070497C" w:rsidRPr="00362F9C">
        <w:rPr>
          <w:rFonts w:ascii="Verdana" w:hAnsi="Verdana" w:cs="Arial"/>
          <w:b/>
          <w:bCs/>
        </w:rPr>
        <w:t>Initiative</w:t>
      </w:r>
    </w:p>
    <w:p w14:paraId="46080AFD" w14:textId="172C6BBE" w:rsidR="00784138" w:rsidRPr="00362F9C" w:rsidRDefault="00112345" w:rsidP="00E66C39">
      <w:pPr>
        <w:spacing w:after="240"/>
        <w:ind w:left="720"/>
        <w:rPr>
          <w:rFonts w:ascii="Verdana" w:hAnsi="Verdana" w:cs="Arial"/>
          <w:bCs/>
        </w:rPr>
      </w:pPr>
      <w:hyperlink r:id="rId18" w:history="1">
        <w:r w:rsidR="00E66C39" w:rsidRPr="00E66C39">
          <w:rPr>
            <w:rStyle w:val="Hyperlink"/>
            <w:rFonts w:ascii="Verdana" w:hAnsi="Verdana" w:cs="Arial"/>
            <w:bCs/>
          </w:rPr>
          <w:t>ASCD Link</w:t>
        </w:r>
      </w:hyperlink>
      <w:r w:rsidR="00E66C39">
        <w:rPr>
          <w:rFonts w:ascii="Verdana" w:hAnsi="Verdana" w:cs="Arial"/>
          <w:bCs/>
        </w:rPr>
        <w:t xml:space="preserve"> </w:t>
      </w:r>
    </w:p>
    <w:p w14:paraId="35D34478" w14:textId="5154D928" w:rsidR="003A5F40" w:rsidRPr="006D3F9F" w:rsidRDefault="0070497C" w:rsidP="006D3F9F">
      <w:pPr>
        <w:spacing w:after="240"/>
        <w:ind w:left="720"/>
        <w:rPr>
          <w:rFonts w:ascii="Verdana" w:hAnsi="Verdana" w:cs="Arial"/>
          <w:bCs/>
        </w:rPr>
      </w:pPr>
      <w:r w:rsidRPr="00362F9C">
        <w:rPr>
          <w:rFonts w:ascii="Verdana" w:hAnsi="Verdana" w:cs="Arial"/>
          <w:bCs/>
        </w:rPr>
        <w:t>The ASCD's Whole Child initiative includes resources to help schools and communities promote a school climate and culture, including articles, videos, webinars, and access to experts. The Whole Child approach is an effort to transition from a focus on narrowly defined academic achievement to one that promotes the long-term development and success of all children.</w:t>
      </w:r>
    </w:p>
    <w:p w14:paraId="1A259A52" w14:textId="2B40C933" w:rsidR="0070497C" w:rsidRPr="00362F9C" w:rsidRDefault="0070497C" w:rsidP="0077258F">
      <w:pPr>
        <w:ind w:left="720"/>
        <w:rPr>
          <w:rFonts w:ascii="Verdana" w:hAnsi="Verdana" w:cs="Arial"/>
          <w:b/>
          <w:bCs/>
        </w:rPr>
      </w:pPr>
      <w:r w:rsidRPr="00362F9C">
        <w:rPr>
          <w:rFonts w:ascii="Verdana" w:hAnsi="Verdana" w:cs="Arial"/>
          <w:b/>
          <w:bCs/>
        </w:rPr>
        <w:t>The Search Institute</w:t>
      </w:r>
      <w:r w:rsidR="0014764C" w:rsidRPr="00362F9C">
        <w:rPr>
          <w:rFonts w:ascii="Verdana" w:hAnsi="Verdana" w:cs="Arial"/>
          <w:b/>
          <w:bCs/>
        </w:rPr>
        <w:t xml:space="preserve"> – 40 Developmental Assets</w:t>
      </w:r>
    </w:p>
    <w:p w14:paraId="37082153" w14:textId="555D3391" w:rsidR="0070497C" w:rsidRPr="00362F9C" w:rsidRDefault="00112345" w:rsidP="006C3C88">
      <w:pPr>
        <w:spacing w:after="240"/>
        <w:ind w:left="720"/>
        <w:rPr>
          <w:rFonts w:ascii="Verdana" w:hAnsi="Verdana" w:cs="Arial"/>
          <w:bCs/>
        </w:rPr>
      </w:pPr>
      <w:hyperlink r:id="rId19" w:history="1">
        <w:r w:rsidR="006D3F9F" w:rsidRPr="006D3F9F">
          <w:rPr>
            <w:rStyle w:val="Hyperlink"/>
            <w:rFonts w:ascii="Verdana" w:hAnsi="Verdana" w:cs="Arial"/>
            <w:bCs/>
          </w:rPr>
          <w:t>The Search Institute Link</w:t>
        </w:r>
      </w:hyperlink>
    </w:p>
    <w:p w14:paraId="34F85F76" w14:textId="2ECBF360" w:rsidR="003A5F40" w:rsidRPr="00171DDF" w:rsidRDefault="0070497C" w:rsidP="00171DDF">
      <w:pPr>
        <w:spacing w:after="240"/>
        <w:ind w:left="720"/>
        <w:rPr>
          <w:rFonts w:ascii="Verdana" w:hAnsi="Verdana" w:cs="Arial"/>
          <w:bCs/>
        </w:rPr>
      </w:pPr>
      <w:r w:rsidRPr="00362F9C">
        <w:rPr>
          <w:rFonts w:ascii="Verdana" w:hAnsi="Verdana" w:cs="Arial"/>
          <w:bCs/>
        </w:rPr>
        <w:t xml:space="preserve">The Search Institute provides research, resources, and expertise to organizations, schools, and community coalitions address critical issues in education and youth development. The institutes’ </w:t>
      </w:r>
      <w:hyperlink r:id="rId20" w:history="1">
        <w:r w:rsidRPr="00362F9C">
          <w:rPr>
            <w:rStyle w:val="Hyperlink"/>
            <w:rFonts w:ascii="Verdana" w:hAnsi="Verdana" w:cs="Arial"/>
            <w:bCs/>
          </w:rPr>
          <w:t>framework of Developmental Assets</w:t>
        </w:r>
      </w:hyperlink>
      <w:r w:rsidRPr="00362F9C">
        <w:rPr>
          <w:rFonts w:ascii="Verdana" w:hAnsi="Verdana" w:cs="Arial"/>
          <w:bCs/>
        </w:rPr>
        <w:t xml:space="preserve"> identifies a set of skills, experiences, relationships, and behaviors that enable young people to develop into successful and contributing adults. The more Developmental Assets young people acquire, the better their chances of succeeding in school and becoming happy, healthy, and contributing members of their communities and society.</w:t>
      </w:r>
    </w:p>
    <w:p w14:paraId="144F4397" w14:textId="36CBE23B" w:rsidR="00246157" w:rsidRPr="00362F9C" w:rsidRDefault="00246157" w:rsidP="0077258F">
      <w:pPr>
        <w:ind w:firstLine="720"/>
        <w:rPr>
          <w:rFonts w:ascii="Verdana" w:hAnsi="Verdana" w:cs="Arial"/>
          <w:b/>
          <w:bCs/>
        </w:rPr>
      </w:pPr>
      <w:r w:rsidRPr="00362F9C">
        <w:rPr>
          <w:rFonts w:ascii="Verdana" w:hAnsi="Verdana" w:cs="Arial"/>
          <w:b/>
          <w:bCs/>
        </w:rPr>
        <w:t>National Center on Safe Supportive Learning Environments</w:t>
      </w:r>
    </w:p>
    <w:p w14:paraId="3A737DCE" w14:textId="7CF0B9E2" w:rsidR="005564AD" w:rsidRPr="00362F9C" w:rsidRDefault="00112345" w:rsidP="005564AD">
      <w:pPr>
        <w:spacing w:after="240"/>
        <w:ind w:left="720"/>
        <w:rPr>
          <w:rFonts w:ascii="Verdana" w:hAnsi="Verdana" w:cs="Arial"/>
          <w:bCs/>
        </w:rPr>
      </w:pPr>
      <w:hyperlink r:id="rId21" w:history="1">
        <w:r w:rsidR="005564AD" w:rsidRPr="005564AD">
          <w:rPr>
            <w:rStyle w:val="Hyperlink"/>
            <w:rFonts w:ascii="Verdana" w:hAnsi="Verdana" w:cs="Arial"/>
            <w:bCs/>
          </w:rPr>
          <w:t>National Center on Safe Supportive Learning Environments Link</w:t>
        </w:r>
      </w:hyperlink>
      <w:r w:rsidR="005564AD">
        <w:rPr>
          <w:rFonts w:ascii="Verdana" w:hAnsi="Verdana" w:cs="Arial"/>
          <w:bCs/>
        </w:rPr>
        <w:t xml:space="preserve"> </w:t>
      </w:r>
    </w:p>
    <w:p w14:paraId="66E238B4" w14:textId="245741D9" w:rsidR="00F55C87" w:rsidRPr="00362F9C" w:rsidRDefault="00246157" w:rsidP="008F015A">
      <w:pPr>
        <w:spacing w:after="240"/>
        <w:ind w:left="720"/>
        <w:rPr>
          <w:rFonts w:ascii="Verdana" w:hAnsi="Verdana" w:cs="Arial"/>
          <w:bCs/>
        </w:rPr>
      </w:pPr>
      <w:r w:rsidRPr="00362F9C">
        <w:rPr>
          <w:rFonts w:ascii="Verdana" w:hAnsi="Verdana" w:cs="Arial"/>
          <w:bCs/>
        </w:rPr>
        <w:t>The National Center on Safe Supportive Learning Environments (NCSSLE) is funded by the U.S. Department of Education’s Office of Safe and Healthy Students to help address factors that affect the conditions for learning, such as bullying, harassment, violence, and substance abuse.</w:t>
      </w:r>
      <w:r w:rsidR="00C55737" w:rsidRPr="00362F9C">
        <w:rPr>
          <w:rFonts w:ascii="Verdana" w:hAnsi="Verdana" w:cs="Arial"/>
          <w:bCs/>
        </w:rPr>
        <w:t xml:space="preserve"> Training and technical assistance resources are available by Education Level (Pre-K/Elementary; Middle/High; Higher Education) and by Roles (State Administrators; School/District Administrators; Teachers; School Support Staff; Families; and Communities). Topics include School Climate; Engagement; Safety; and Environment.</w:t>
      </w:r>
    </w:p>
    <w:p w14:paraId="77E8446C" w14:textId="695F89EB" w:rsidR="00376C44" w:rsidRPr="00362F9C" w:rsidRDefault="00376C44" w:rsidP="0077258F">
      <w:pPr>
        <w:ind w:firstLine="720"/>
        <w:rPr>
          <w:rFonts w:ascii="Verdana" w:hAnsi="Verdana" w:cs="Arial"/>
          <w:b/>
          <w:bCs/>
        </w:rPr>
      </w:pPr>
      <w:r w:rsidRPr="00362F9C">
        <w:rPr>
          <w:rFonts w:ascii="Verdana" w:hAnsi="Verdana" w:cs="Arial"/>
          <w:b/>
          <w:bCs/>
        </w:rPr>
        <w:t xml:space="preserve">The National School Climate Center (NSCC) </w:t>
      </w:r>
    </w:p>
    <w:p w14:paraId="1B678985" w14:textId="7AC9A1F6" w:rsidR="0070497C" w:rsidRPr="00362F9C" w:rsidRDefault="00112345" w:rsidP="008F015A">
      <w:pPr>
        <w:spacing w:after="240"/>
        <w:ind w:left="720"/>
        <w:rPr>
          <w:rFonts w:ascii="Verdana" w:hAnsi="Verdana" w:cs="Arial"/>
          <w:bCs/>
        </w:rPr>
      </w:pPr>
      <w:hyperlink r:id="rId22" w:history="1">
        <w:r w:rsidR="003947EF" w:rsidRPr="003947EF">
          <w:rPr>
            <w:rStyle w:val="Hyperlink"/>
            <w:rFonts w:ascii="Verdana" w:hAnsi="Verdana" w:cs="Arial"/>
            <w:bCs/>
          </w:rPr>
          <w:t>NSCC Link</w:t>
        </w:r>
      </w:hyperlink>
    </w:p>
    <w:p w14:paraId="73DAE019" w14:textId="77BD4860" w:rsidR="00694E01" w:rsidRPr="00F5506F" w:rsidRDefault="009A7134" w:rsidP="00F5506F">
      <w:pPr>
        <w:spacing w:after="240"/>
        <w:ind w:left="720"/>
        <w:rPr>
          <w:rFonts w:ascii="Verdana" w:hAnsi="Verdana" w:cs="Arial"/>
          <w:bCs/>
        </w:rPr>
      </w:pPr>
      <w:r w:rsidRPr="00362F9C">
        <w:rPr>
          <w:rFonts w:ascii="Verdana" w:hAnsi="Verdana" w:cs="Arial"/>
          <w:bCs/>
        </w:rPr>
        <w:t xml:space="preserve">The National School Climate </w:t>
      </w:r>
      <w:r w:rsidR="00CE69F1" w:rsidRPr="00362F9C">
        <w:rPr>
          <w:rFonts w:ascii="Verdana" w:hAnsi="Verdana" w:cs="Arial"/>
          <w:bCs/>
        </w:rPr>
        <w:t xml:space="preserve">Council </w:t>
      </w:r>
      <w:r w:rsidR="00A12238" w:rsidRPr="00362F9C">
        <w:rPr>
          <w:rFonts w:ascii="Verdana" w:hAnsi="Verdana" w:cs="Arial"/>
          <w:bCs/>
        </w:rPr>
        <w:t xml:space="preserve">works with </w:t>
      </w:r>
      <w:r w:rsidR="00376C44" w:rsidRPr="00362F9C">
        <w:rPr>
          <w:rFonts w:ascii="Verdana" w:hAnsi="Verdana" w:cs="Arial"/>
          <w:bCs/>
        </w:rPr>
        <w:t xml:space="preserve">the </w:t>
      </w:r>
      <w:r w:rsidR="00A12238" w:rsidRPr="00362F9C">
        <w:rPr>
          <w:rFonts w:ascii="Verdana" w:hAnsi="Verdana" w:cs="Arial"/>
          <w:bCs/>
        </w:rPr>
        <w:t>academic community—teacher, staff, school-based mental health professionals, students and parents—to improve a climate for learning.</w:t>
      </w:r>
      <w:r w:rsidR="00376C44" w:rsidRPr="00362F9C">
        <w:rPr>
          <w:rFonts w:ascii="Verdana" w:hAnsi="Verdana" w:cs="Arial"/>
          <w:bCs/>
        </w:rPr>
        <w:t xml:space="preserve"> It </w:t>
      </w:r>
      <w:r w:rsidR="00A12238" w:rsidRPr="00362F9C">
        <w:rPr>
          <w:rFonts w:ascii="Verdana" w:hAnsi="Verdana" w:cs="Arial"/>
          <w:bCs/>
        </w:rPr>
        <w:t>translate</w:t>
      </w:r>
      <w:r w:rsidR="00376C44" w:rsidRPr="00362F9C">
        <w:rPr>
          <w:rFonts w:ascii="Verdana" w:hAnsi="Verdana" w:cs="Arial"/>
          <w:bCs/>
        </w:rPr>
        <w:t>s</w:t>
      </w:r>
      <w:r w:rsidR="00A12238" w:rsidRPr="00362F9C">
        <w:rPr>
          <w:rFonts w:ascii="Verdana" w:hAnsi="Verdana" w:cs="Arial"/>
          <w:bCs/>
        </w:rPr>
        <w:t xml:space="preserve"> research into practice by establishing meaningful and relevant guidelines, programs and services that support a model for whole school improvement with a focus on school climate.</w:t>
      </w:r>
    </w:p>
    <w:p w14:paraId="39C27FD2" w14:textId="0118B2D4" w:rsidR="00694E01" w:rsidRPr="00362F9C" w:rsidRDefault="00694E01" w:rsidP="0077258F">
      <w:pPr>
        <w:pStyle w:val="Heading2"/>
        <w:rPr>
          <w:rFonts w:ascii="Verdana" w:hAnsi="Verdana" w:cs="Arial"/>
          <w:b/>
          <w:color w:val="auto"/>
        </w:rPr>
      </w:pPr>
      <w:r w:rsidRPr="00362F9C">
        <w:rPr>
          <w:rFonts w:ascii="Verdana" w:hAnsi="Verdana" w:cs="Arial"/>
          <w:b/>
          <w:color w:val="auto"/>
        </w:rPr>
        <w:t>National School Climate Standards:</w:t>
      </w:r>
    </w:p>
    <w:p w14:paraId="61F91FE8" w14:textId="662E40B6" w:rsidR="00D96DDF" w:rsidRPr="00362F9C" w:rsidRDefault="00112345" w:rsidP="00D96DDF">
      <w:pPr>
        <w:spacing w:after="240"/>
        <w:rPr>
          <w:rFonts w:ascii="Verdana" w:hAnsi="Verdana" w:cs="Arial"/>
          <w:bCs/>
          <w:i/>
          <w:sz w:val="20"/>
          <w:szCs w:val="20"/>
        </w:rPr>
      </w:pPr>
      <w:hyperlink r:id="rId23" w:history="1">
        <w:r w:rsidR="00D96DDF" w:rsidRPr="00D96DDF">
          <w:rPr>
            <w:rStyle w:val="Hyperlink"/>
            <w:rFonts w:ascii="Verdana" w:hAnsi="Verdana" w:cs="Arial"/>
            <w:bCs/>
            <w:szCs w:val="20"/>
          </w:rPr>
          <w:t>National School Climate Standards Link</w:t>
        </w:r>
      </w:hyperlink>
      <w:r w:rsidR="00D96DDF" w:rsidRPr="00D96DDF">
        <w:rPr>
          <w:rFonts w:ascii="Verdana" w:hAnsi="Verdana" w:cs="Arial"/>
          <w:bCs/>
          <w:i/>
          <w:sz w:val="20"/>
          <w:szCs w:val="20"/>
        </w:rPr>
        <w:t xml:space="preserve"> </w:t>
      </w:r>
    </w:p>
    <w:p w14:paraId="4096C73F" w14:textId="77777777" w:rsidR="00694E01" w:rsidRPr="00362F9C" w:rsidRDefault="00694E01" w:rsidP="0077258F">
      <w:pPr>
        <w:spacing w:after="120"/>
        <w:rPr>
          <w:rFonts w:ascii="Verdana" w:hAnsi="Verdana" w:cs="Arial"/>
          <w:bCs/>
        </w:rPr>
      </w:pPr>
      <w:r w:rsidRPr="00362F9C">
        <w:rPr>
          <w:rFonts w:ascii="Verdana" w:hAnsi="Verdana" w:cs="Arial"/>
          <w:bCs/>
        </w:rPr>
        <w:t>The national School Climate Standards provide a research-based framework and benchmark criteria for local and state educational leaders to support and assess district and school efforts to enhance and be accountable for school climate. The framework is comprised of five standards and a set of indicators and sub-indicators that support the school community:</w:t>
      </w:r>
    </w:p>
    <w:p w14:paraId="73669B1E" w14:textId="743B5882" w:rsidR="00694E01" w:rsidRPr="00362F9C" w:rsidRDefault="005710CC" w:rsidP="0077258F">
      <w:pPr>
        <w:numPr>
          <w:ilvl w:val="0"/>
          <w:numId w:val="7"/>
        </w:numPr>
        <w:tabs>
          <w:tab w:val="clear" w:pos="720"/>
          <w:tab w:val="num" w:pos="1440"/>
        </w:tabs>
        <w:spacing w:after="120"/>
        <w:rPr>
          <w:rFonts w:ascii="Verdana" w:hAnsi="Verdana" w:cs="Arial"/>
          <w:bCs/>
        </w:rPr>
      </w:pPr>
      <w:r>
        <w:rPr>
          <w:rFonts w:ascii="Verdana" w:hAnsi="Verdana" w:cs="Arial"/>
          <w:bCs/>
        </w:rPr>
        <w:t xml:space="preserve">Developing a </w:t>
      </w:r>
      <w:r w:rsidR="00694E01" w:rsidRPr="00362F9C">
        <w:rPr>
          <w:rFonts w:ascii="Verdana" w:hAnsi="Verdana" w:cs="Arial"/>
          <w:b/>
          <w:bCs/>
        </w:rPr>
        <w:t>shared vision</w:t>
      </w:r>
      <w:r>
        <w:rPr>
          <w:rFonts w:ascii="Verdana" w:hAnsi="Verdana" w:cs="Arial"/>
          <w:bCs/>
        </w:rPr>
        <w:t xml:space="preserve"> </w:t>
      </w:r>
      <w:r w:rsidR="00694E01" w:rsidRPr="00362F9C">
        <w:rPr>
          <w:rFonts w:ascii="Verdana" w:hAnsi="Verdana" w:cs="Arial"/>
          <w:bCs/>
        </w:rPr>
        <w:t>and plan for promoting, enhancing and sustaining a positive school climate.</w:t>
      </w:r>
    </w:p>
    <w:p w14:paraId="4259C8EE" w14:textId="2F77DFDC" w:rsidR="00694E01" w:rsidRPr="00362F9C" w:rsidRDefault="005710CC" w:rsidP="0077258F">
      <w:pPr>
        <w:numPr>
          <w:ilvl w:val="0"/>
          <w:numId w:val="7"/>
        </w:numPr>
        <w:tabs>
          <w:tab w:val="clear" w:pos="720"/>
          <w:tab w:val="num" w:pos="1440"/>
        </w:tabs>
        <w:spacing w:after="120"/>
        <w:rPr>
          <w:rFonts w:ascii="Verdana" w:hAnsi="Verdana" w:cs="Arial"/>
          <w:bCs/>
        </w:rPr>
      </w:pPr>
      <w:r>
        <w:rPr>
          <w:rFonts w:ascii="Verdana" w:hAnsi="Verdana" w:cs="Arial"/>
          <w:bCs/>
        </w:rPr>
        <w:t xml:space="preserve">Developing </w:t>
      </w:r>
      <w:r w:rsidR="00694E01" w:rsidRPr="00362F9C">
        <w:rPr>
          <w:rFonts w:ascii="Verdana" w:hAnsi="Verdana" w:cs="Arial"/>
          <w:b/>
          <w:bCs/>
        </w:rPr>
        <w:t>policies</w:t>
      </w:r>
      <w:r>
        <w:rPr>
          <w:rFonts w:ascii="Verdana" w:hAnsi="Verdana" w:cs="Arial"/>
          <w:bCs/>
        </w:rPr>
        <w:t xml:space="preserve"> </w:t>
      </w:r>
      <w:r w:rsidR="00694E01" w:rsidRPr="00362F9C">
        <w:rPr>
          <w:rFonts w:ascii="Verdana" w:hAnsi="Verdana" w:cs="Arial"/>
          <w:bCs/>
        </w:rPr>
        <w:t>that promote social, emotional ethical, civic and intellectual learning as well as systems that address barriers to learning.</w:t>
      </w:r>
    </w:p>
    <w:p w14:paraId="097E3632" w14:textId="1AC96D8D" w:rsidR="00694E01" w:rsidRPr="00362F9C" w:rsidRDefault="005710CC" w:rsidP="0077258F">
      <w:pPr>
        <w:numPr>
          <w:ilvl w:val="0"/>
          <w:numId w:val="7"/>
        </w:numPr>
        <w:tabs>
          <w:tab w:val="clear" w:pos="720"/>
          <w:tab w:val="num" w:pos="1440"/>
        </w:tabs>
        <w:spacing w:after="120"/>
        <w:rPr>
          <w:rFonts w:ascii="Verdana" w:hAnsi="Verdana" w:cs="Arial"/>
          <w:bCs/>
        </w:rPr>
      </w:pPr>
      <w:r>
        <w:rPr>
          <w:rFonts w:ascii="Verdana" w:hAnsi="Verdana" w:cs="Arial"/>
          <w:bCs/>
        </w:rPr>
        <w:t xml:space="preserve">Promoting </w:t>
      </w:r>
      <w:r w:rsidR="00694E01" w:rsidRPr="00362F9C">
        <w:rPr>
          <w:rFonts w:ascii="Verdana" w:hAnsi="Verdana" w:cs="Arial"/>
          <w:b/>
          <w:bCs/>
        </w:rPr>
        <w:t>practices</w:t>
      </w:r>
      <w:r>
        <w:rPr>
          <w:rFonts w:ascii="Verdana" w:hAnsi="Verdana" w:cs="Arial"/>
          <w:bCs/>
        </w:rPr>
        <w:t xml:space="preserve"> </w:t>
      </w:r>
      <w:r w:rsidR="00694E01" w:rsidRPr="00362F9C">
        <w:rPr>
          <w:rFonts w:ascii="Verdana" w:hAnsi="Verdana" w:cs="Arial"/>
          <w:bCs/>
        </w:rPr>
        <w:t>that promote the learning and positive social, emotional, ethical and civic development of students and student engagement as well as addressing barriers to learning.</w:t>
      </w:r>
    </w:p>
    <w:p w14:paraId="49F1C693" w14:textId="0BDCC576" w:rsidR="00694E01" w:rsidRPr="00362F9C" w:rsidRDefault="00694E01" w:rsidP="0077258F">
      <w:pPr>
        <w:numPr>
          <w:ilvl w:val="0"/>
          <w:numId w:val="7"/>
        </w:numPr>
        <w:tabs>
          <w:tab w:val="clear" w:pos="720"/>
          <w:tab w:val="num" w:pos="1440"/>
        </w:tabs>
        <w:spacing w:after="120"/>
        <w:rPr>
          <w:rFonts w:ascii="Verdana" w:hAnsi="Verdana" w:cs="Arial"/>
          <w:bCs/>
        </w:rPr>
      </w:pPr>
      <w:r w:rsidRPr="00362F9C">
        <w:rPr>
          <w:rFonts w:ascii="Verdana" w:hAnsi="Verdana" w:cs="Arial"/>
          <w:bCs/>
        </w:rPr>
        <w:t>Creating an en</w:t>
      </w:r>
      <w:r w:rsidR="005710CC">
        <w:rPr>
          <w:rFonts w:ascii="Verdana" w:hAnsi="Verdana" w:cs="Arial"/>
          <w:bCs/>
        </w:rPr>
        <w:t xml:space="preserve">vironment where all members are </w:t>
      </w:r>
      <w:r w:rsidRPr="00362F9C">
        <w:rPr>
          <w:rFonts w:ascii="Verdana" w:hAnsi="Verdana" w:cs="Arial"/>
          <w:b/>
          <w:bCs/>
        </w:rPr>
        <w:t xml:space="preserve">welcomed, supported, and feel safe </w:t>
      </w:r>
      <w:r w:rsidRPr="00362F9C">
        <w:rPr>
          <w:rFonts w:ascii="Verdana" w:hAnsi="Verdana" w:cs="Arial"/>
          <w:bCs/>
        </w:rPr>
        <w:t>in school: socially, emotionally, intellectually and physically.</w:t>
      </w:r>
    </w:p>
    <w:p w14:paraId="77388144" w14:textId="5C3A68B2" w:rsidR="00694E01" w:rsidRPr="00362F9C" w:rsidRDefault="00694E01" w:rsidP="0077258F">
      <w:pPr>
        <w:numPr>
          <w:ilvl w:val="0"/>
          <w:numId w:val="7"/>
        </w:numPr>
        <w:tabs>
          <w:tab w:val="clear" w:pos="720"/>
          <w:tab w:val="num" w:pos="1440"/>
        </w:tabs>
        <w:spacing w:after="100" w:afterAutospacing="1"/>
        <w:rPr>
          <w:rFonts w:ascii="Verdana" w:hAnsi="Verdana"/>
          <w:b/>
        </w:rPr>
      </w:pPr>
      <w:r w:rsidRPr="00362F9C">
        <w:rPr>
          <w:rFonts w:ascii="Verdana" w:hAnsi="Verdana" w:cs="Arial"/>
          <w:bCs/>
        </w:rPr>
        <w:t>Developing meaningful and engaging pract</w:t>
      </w:r>
      <w:r w:rsidR="005710CC">
        <w:rPr>
          <w:rFonts w:ascii="Verdana" w:hAnsi="Verdana" w:cs="Arial"/>
          <w:bCs/>
        </w:rPr>
        <w:t xml:space="preserve">ices, activities and norms that </w:t>
      </w:r>
      <w:r w:rsidRPr="00362F9C">
        <w:rPr>
          <w:rFonts w:ascii="Verdana" w:hAnsi="Verdana" w:cs="Arial"/>
          <w:b/>
          <w:bCs/>
        </w:rPr>
        <w:t>promote social and civic responsibilities and a commitment to social justice.</w:t>
      </w:r>
    </w:p>
    <w:sectPr w:rsidR="00694E01" w:rsidRPr="00362F9C" w:rsidSect="007E00BF">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60D11" w14:textId="77777777" w:rsidR="001C35F1" w:rsidRDefault="001C35F1" w:rsidP="00490F72">
      <w:r>
        <w:separator/>
      </w:r>
    </w:p>
  </w:endnote>
  <w:endnote w:type="continuationSeparator" w:id="0">
    <w:p w14:paraId="08AD2EB4" w14:textId="77777777" w:rsidR="001C35F1" w:rsidRDefault="001C35F1" w:rsidP="00490F72">
      <w:r>
        <w:continuationSeparator/>
      </w:r>
    </w:p>
  </w:endnote>
  <w:endnote w:id="1">
    <w:p w14:paraId="0F23161F" w14:textId="77777777" w:rsidR="002446A6" w:rsidRDefault="002446A6" w:rsidP="008123D9">
      <w:pPr>
        <w:pStyle w:val="EndnoteText"/>
        <w:spacing w:before="100" w:beforeAutospacing="1"/>
      </w:pPr>
      <w:r>
        <w:rPr>
          <w:rStyle w:val="EndnoteReference"/>
        </w:rPr>
        <w:endnoteRef/>
      </w:r>
      <w:r>
        <w:t xml:space="preserve"> </w:t>
      </w:r>
      <w:r w:rsidRPr="00490F72">
        <w:t>Amrit Thapa, Jonathan Cohen, Shawn Guffey, and Ann Higgins-D’Alessandro</w:t>
      </w:r>
      <w:r>
        <w:t>. (2013) “</w:t>
      </w:r>
      <w:r w:rsidRPr="00490F72">
        <w:rPr>
          <w:bCs/>
        </w:rPr>
        <w:t>A Review of School Climate Research</w:t>
      </w:r>
      <w:r>
        <w:rPr>
          <w:b/>
          <w:bCs/>
        </w:rPr>
        <w:t xml:space="preserve">” </w:t>
      </w:r>
      <w:r w:rsidRPr="00490F72">
        <w:rPr>
          <w:i/>
        </w:rPr>
        <w:t>Review of Educational Research</w:t>
      </w:r>
      <w:r>
        <w:rPr>
          <w:i/>
        </w:rPr>
        <w:t>.</w:t>
      </w:r>
    </w:p>
  </w:endnote>
  <w:endnote w:id="2">
    <w:p w14:paraId="571E63F5" w14:textId="5B12620A" w:rsidR="00490F72" w:rsidRDefault="00490F72" w:rsidP="008123D9">
      <w:r>
        <w:rPr>
          <w:rStyle w:val="EndnoteReference"/>
        </w:rPr>
        <w:endnoteRef/>
      </w:r>
      <w:r>
        <w:t xml:space="preserve"> </w:t>
      </w:r>
      <w:r w:rsidRPr="00490F72">
        <w:t>Amrit Thapa, Jonathan Cohen, Shawn Guffey, and Ann Higgins-D’Alessandro</w:t>
      </w:r>
      <w:r>
        <w:t>. (2013) “</w:t>
      </w:r>
      <w:r w:rsidRPr="00490F72">
        <w:rPr>
          <w:bCs/>
        </w:rPr>
        <w:t>A Review of School Climate Research</w:t>
      </w:r>
      <w:r>
        <w:rPr>
          <w:b/>
          <w:bCs/>
        </w:rPr>
        <w:t xml:space="preserve">” </w:t>
      </w:r>
      <w:r w:rsidRPr="00490F72">
        <w:rPr>
          <w:i/>
        </w:rPr>
        <w:t>Review of Educational Research</w:t>
      </w:r>
      <w:r w:rsidR="0070497C">
        <w:rPr>
          <w:i/>
        </w:rPr>
        <w:t xml:space="preserve">; </w:t>
      </w:r>
      <w:r w:rsidR="0070497C" w:rsidRPr="0070497C">
        <w:t>See also</w:t>
      </w:r>
      <w:r w:rsidR="0070497C">
        <w:t xml:space="preserve"> </w:t>
      </w:r>
      <w:r w:rsidR="0070497C" w:rsidRPr="0067540B">
        <w:t>Hatzenbuehler, M. L., Birkett, M., Van Wagenen, A., &amp; Meyer, I. H. (2014). Protective School Climates and Reduced Risk for Suicide Ideation in Sexual Minority Youths. American Journal of Public Health, 104(2), 279–286.</w:t>
      </w:r>
      <w:r w:rsidR="007C00D3">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B2540" w14:textId="77777777" w:rsidR="00273A7C" w:rsidRDefault="00273A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DF135" w14:textId="4D19C949" w:rsidR="00F720AC" w:rsidRPr="007D3A64" w:rsidRDefault="00FB0B5B">
    <w:pPr>
      <w:pStyle w:val="Footer"/>
      <w:rPr>
        <w:rFonts w:ascii="Verdana" w:hAnsi="Verdana"/>
        <w:sz w:val="22"/>
      </w:rPr>
    </w:pPr>
    <w:r w:rsidRPr="007D3A64">
      <w:rPr>
        <w:rFonts w:ascii="Verdana" w:hAnsi="Verdana"/>
        <w:sz w:val="22"/>
      </w:rPr>
      <w:t xml:space="preserve">Page </w:t>
    </w:r>
    <w:r w:rsidRPr="007D3A64">
      <w:rPr>
        <w:rFonts w:ascii="Verdana" w:hAnsi="Verdana"/>
        <w:b/>
        <w:bCs/>
        <w:sz w:val="22"/>
      </w:rPr>
      <w:fldChar w:fldCharType="begin"/>
    </w:r>
    <w:r w:rsidRPr="007D3A64">
      <w:rPr>
        <w:rFonts w:ascii="Verdana" w:hAnsi="Verdana"/>
        <w:b/>
        <w:bCs/>
        <w:sz w:val="22"/>
      </w:rPr>
      <w:instrText xml:space="preserve"> PAGE  \* Arabic  \* MERGEFORMAT </w:instrText>
    </w:r>
    <w:r w:rsidRPr="007D3A64">
      <w:rPr>
        <w:rFonts w:ascii="Verdana" w:hAnsi="Verdana"/>
        <w:b/>
        <w:bCs/>
        <w:sz w:val="22"/>
      </w:rPr>
      <w:fldChar w:fldCharType="separate"/>
    </w:r>
    <w:r w:rsidR="00112345">
      <w:rPr>
        <w:rFonts w:ascii="Verdana" w:hAnsi="Verdana"/>
        <w:b/>
        <w:bCs/>
        <w:noProof/>
        <w:sz w:val="22"/>
      </w:rPr>
      <w:t>6</w:t>
    </w:r>
    <w:r w:rsidRPr="007D3A64">
      <w:rPr>
        <w:rFonts w:ascii="Verdana" w:hAnsi="Verdana"/>
        <w:b/>
        <w:bCs/>
        <w:sz w:val="22"/>
      </w:rPr>
      <w:fldChar w:fldCharType="end"/>
    </w:r>
    <w:r w:rsidRPr="007D3A64">
      <w:rPr>
        <w:rFonts w:ascii="Verdana" w:hAnsi="Verdana"/>
        <w:sz w:val="22"/>
      </w:rPr>
      <w:t xml:space="preserve"> of </w:t>
    </w:r>
    <w:r w:rsidRPr="007D3A64">
      <w:rPr>
        <w:rFonts w:ascii="Verdana" w:hAnsi="Verdana"/>
        <w:b/>
        <w:bCs/>
        <w:sz w:val="22"/>
      </w:rPr>
      <w:fldChar w:fldCharType="begin"/>
    </w:r>
    <w:r w:rsidRPr="007D3A64">
      <w:rPr>
        <w:rFonts w:ascii="Verdana" w:hAnsi="Verdana"/>
        <w:b/>
        <w:bCs/>
        <w:sz w:val="22"/>
      </w:rPr>
      <w:instrText xml:space="preserve"> NUMPAGES  \* Arabic  \* MERGEFORMAT </w:instrText>
    </w:r>
    <w:r w:rsidRPr="007D3A64">
      <w:rPr>
        <w:rFonts w:ascii="Verdana" w:hAnsi="Verdana"/>
        <w:b/>
        <w:bCs/>
        <w:sz w:val="22"/>
      </w:rPr>
      <w:fldChar w:fldCharType="separate"/>
    </w:r>
    <w:r w:rsidR="00112345">
      <w:rPr>
        <w:rFonts w:ascii="Verdana" w:hAnsi="Verdana"/>
        <w:b/>
        <w:bCs/>
        <w:noProof/>
        <w:sz w:val="22"/>
      </w:rPr>
      <w:t>6</w:t>
    </w:r>
    <w:r w:rsidRPr="007D3A64">
      <w:rPr>
        <w:rFonts w:ascii="Verdana" w:hAnsi="Verdana"/>
        <w:b/>
        <w:bCs/>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6ED6D" w14:textId="77777777" w:rsidR="00273A7C" w:rsidRDefault="00273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5D2FB" w14:textId="77777777" w:rsidR="001C35F1" w:rsidRDefault="001C35F1" w:rsidP="00490F72">
      <w:r>
        <w:separator/>
      </w:r>
    </w:p>
  </w:footnote>
  <w:footnote w:type="continuationSeparator" w:id="0">
    <w:p w14:paraId="7BF8C00B" w14:textId="77777777" w:rsidR="001C35F1" w:rsidRDefault="001C35F1" w:rsidP="00490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9DC17" w14:textId="77777777" w:rsidR="00273A7C" w:rsidRDefault="00273A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BB187" w14:textId="01E67000" w:rsidR="00F720AC" w:rsidRPr="00B13F06" w:rsidRDefault="00362F9C" w:rsidP="00A65310">
    <w:pPr>
      <w:pStyle w:val="Header"/>
      <w:spacing w:after="120"/>
      <w:rPr>
        <w:i/>
      </w:rPr>
    </w:pPr>
    <w:r w:rsidRPr="00E91003">
      <w:rPr>
        <w:noProof/>
        <w:color w:val="ED7D31"/>
        <w:sz w:val="96"/>
        <w:szCs w:val="96"/>
      </w:rPr>
      <w:drawing>
        <wp:inline distT="0" distB="0" distL="0" distR="0" wp14:anchorId="2A56689D" wp14:editId="6320F1BB">
          <wp:extent cx="2380488" cy="457200"/>
          <wp:effectExtent l="0" t="0" r="1270" b="0"/>
          <wp:docPr id="15" name="Picture 2" descr="Logo for the Texas Health and Human Services" title="Logo - texas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for the Texas Health and Human Services" title="Logo - texas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0488" cy="457200"/>
                  </a:xfrm>
                  <a:prstGeom prst="rect">
                    <a:avLst/>
                  </a:prstGeom>
                  <a:noFill/>
                  <a:ln>
                    <a:noFill/>
                  </a:ln>
                </pic:spPr>
              </pic:pic>
            </a:graphicData>
          </a:graphic>
        </wp:inline>
      </w:drawing>
    </w:r>
    <w:r w:rsidR="0050041F">
      <w:rPr>
        <w:i/>
      </w:rPr>
      <w:tab/>
    </w:r>
    <w:r w:rsidR="00BD3489">
      <w:rPr>
        <w:i/>
      </w:rPr>
      <w:tab/>
    </w:r>
    <w:r w:rsidRPr="00E87449">
      <w:rPr>
        <w:noProof/>
      </w:rPr>
      <w:drawing>
        <wp:inline distT="0" distB="0" distL="0" distR="0" wp14:anchorId="5A4F3E00" wp14:editId="2D4A98D6">
          <wp:extent cx="1504950" cy="507163"/>
          <wp:effectExtent l="0" t="0" r="0" b="7620"/>
          <wp:docPr id="11" name="Picture 3" descr="Red and Black logo for the TSH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 and Black logo for the TSH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0483" cy="51239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2A8A3" w14:textId="77777777" w:rsidR="00273A7C" w:rsidRDefault="00273A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F5752"/>
    <w:multiLevelType w:val="hybridMultilevel"/>
    <w:tmpl w:val="7C205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B2FA5"/>
    <w:multiLevelType w:val="hybridMultilevel"/>
    <w:tmpl w:val="1C30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B74E8"/>
    <w:multiLevelType w:val="hybridMultilevel"/>
    <w:tmpl w:val="6D9C6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A635AB"/>
    <w:multiLevelType w:val="hybridMultilevel"/>
    <w:tmpl w:val="3D88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E68A2"/>
    <w:multiLevelType w:val="hybridMultilevel"/>
    <w:tmpl w:val="AC42F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805E44"/>
    <w:multiLevelType w:val="hybridMultilevel"/>
    <w:tmpl w:val="3922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473F8"/>
    <w:multiLevelType w:val="multilevel"/>
    <w:tmpl w:val="725CA4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26154FF"/>
    <w:multiLevelType w:val="multilevel"/>
    <w:tmpl w:val="24EC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957771"/>
    <w:multiLevelType w:val="multilevel"/>
    <w:tmpl w:val="E55A2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9177B5"/>
    <w:multiLevelType w:val="hybridMultilevel"/>
    <w:tmpl w:val="7654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10AFE"/>
    <w:multiLevelType w:val="hybridMultilevel"/>
    <w:tmpl w:val="DEF628F2"/>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1" w15:restartNumberingAfterBreak="0">
    <w:nsid w:val="62FC24B6"/>
    <w:multiLevelType w:val="multilevel"/>
    <w:tmpl w:val="3F42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2769C8"/>
    <w:multiLevelType w:val="multilevel"/>
    <w:tmpl w:val="B35A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
  </w:num>
  <w:num w:numId="4">
    <w:abstractNumId w:val="4"/>
  </w:num>
  <w:num w:numId="5">
    <w:abstractNumId w:val="3"/>
  </w:num>
  <w:num w:numId="6">
    <w:abstractNumId w:val="0"/>
  </w:num>
  <w:num w:numId="7">
    <w:abstractNumId w:val="8"/>
  </w:num>
  <w:num w:numId="8">
    <w:abstractNumId w:val="2"/>
  </w:num>
  <w:num w:numId="9">
    <w:abstractNumId w:val="10"/>
  </w:num>
  <w:num w:numId="10">
    <w:abstractNumId w:val="11"/>
  </w:num>
  <w:num w:numId="11">
    <w:abstractNumId w:val="7"/>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F2"/>
    <w:rsid w:val="00066D90"/>
    <w:rsid w:val="000F6F96"/>
    <w:rsid w:val="001071A8"/>
    <w:rsid w:val="00112345"/>
    <w:rsid w:val="0014764C"/>
    <w:rsid w:val="00150137"/>
    <w:rsid w:val="00156858"/>
    <w:rsid w:val="00171DDF"/>
    <w:rsid w:val="00174A71"/>
    <w:rsid w:val="001845C8"/>
    <w:rsid w:val="001C35F1"/>
    <w:rsid w:val="00214E99"/>
    <w:rsid w:val="002446A6"/>
    <w:rsid w:val="00246157"/>
    <w:rsid w:val="0025046C"/>
    <w:rsid w:val="0025367D"/>
    <w:rsid w:val="00267876"/>
    <w:rsid w:val="00273A7C"/>
    <w:rsid w:val="002A13AC"/>
    <w:rsid w:val="002C4FB2"/>
    <w:rsid w:val="002D0001"/>
    <w:rsid w:val="0032118A"/>
    <w:rsid w:val="00357EA0"/>
    <w:rsid w:val="00362F9C"/>
    <w:rsid w:val="00376C44"/>
    <w:rsid w:val="003947EF"/>
    <w:rsid w:val="003A5F40"/>
    <w:rsid w:val="003D0CBD"/>
    <w:rsid w:val="00441D0A"/>
    <w:rsid w:val="0044574C"/>
    <w:rsid w:val="00467E5E"/>
    <w:rsid w:val="00476FE9"/>
    <w:rsid w:val="00490F72"/>
    <w:rsid w:val="004D0086"/>
    <w:rsid w:val="004D5668"/>
    <w:rsid w:val="004E7B21"/>
    <w:rsid w:val="0050041F"/>
    <w:rsid w:val="00512051"/>
    <w:rsid w:val="005155F3"/>
    <w:rsid w:val="005261B6"/>
    <w:rsid w:val="0054479D"/>
    <w:rsid w:val="00553629"/>
    <w:rsid w:val="005564AD"/>
    <w:rsid w:val="005710CC"/>
    <w:rsid w:val="00577B93"/>
    <w:rsid w:val="00585C8B"/>
    <w:rsid w:val="005A57D9"/>
    <w:rsid w:val="005E3A5A"/>
    <w:rsid w:val="00694E01"/>
    <w:rsid w:val="006C3C88"/>
    <w:rsid w:val="006D3F9F"/>
    <w:rsid w:val="006E42D9"/>
    <w:rsid w:val="0070497C"/>
    <w:rsid w:val="00720FAF"/>
    <w:rsid w:val="0077258F"/>
    <w:rsid w:val="00784138"/>
    <w:rsid w:val="007A025F"/>
    <w:rsid w:val="007C00D3"/>
    <w:rsid w:val="007D3A64"/>
    <w:rsid w:val="007E00BF"/>
    <w:rsid w:val="007E04B8"/>
    <w:rsid w:val="008123D9"/>
    <w:rsid w:val="00817373"/>
    <w:rsid w:val="00843EDB"/>
    <w:rsid w:val="008675E0"/>
    <w:rsid w:val="0087199D"/>
    <w:rsid w:val="00876AD7"/>
    <w:rsid w:val="008A433C"/>
    <w:rsid w:val="008B7FB6"/>
    <w:rsid w:val="008C26B4"/>
    <w:rsid w:val="008F015A"/>
    <w:rsid w:val="00925E29"/>
    <w:rsid w:val="00961981"/>
    <w:rsid w:val="009A7134"/>
    <w:rsid w:val="009C3604"/>
    <w:rsid w:val="00A00847"/>
    <w:rsid w:val="00A0306B"/>
    <w:rsid w:val="00A10564"/>
    <w:rsid w:val="00A12238"/>
    <w:rsid w:val="00A523F7"/>
    <w:rsid w:val="00A555B3"/>
    <w:rsid w:val="00A65310"/>
    <w:rsid w:val="00A90325"/>
    <w:rsid w:val="00A94AE7"/>
    <w:rsid w:val="00AB77FD"/>
    <w:rsid w:val="00B13F06"/>
    <w:rsid w:val="00BD3489"/>
    <w:rsid w:val="00BF5393"/>
    <w:rsid w:val="00C23B54"/>
    <w:rsid w:val="00C30D3D"/>
    <w:rsid w:val="00C55737"/>
    <w:rsid w:val="00CB4E47"/>
    <w:rsid w:val="00CC18AE"/>
    <w:rsid w:val="00CE4366"/>
    <w:rsid w:val="00CE69F1"/>
    <w:rsid w:val="00D426F5"/>
    <w:rsid w:val="00D47F2C"/>
    <w:rsid w:val="00D74A88"/>
    <w:rsid w:val="00D96DDF"/>
    <w:rsid w:val="00DA4956"/>
    <w:rsid w:val="00DB0CB3"/>
    <w:rsid w:val="00DF4F86"/>
    <w:rsid w:val="00E40866"/>
    <w:rsid w:val="00E41A93"/>
    <w:rsid w:val="00E466F2"/>
    <w:rsid w:val="00E66C39"/>
    <w:rsid w:val="00E73DCD"/>
    <w:rsid w:val="00E77DC0"/>
    <w:rsid w:val="00E83B28"/>
    <w:rsid w:val="00ED5A90"/>
    <w:rsid w:val="00F42ADB"/>
    <w:rsid w:val="00F5506F"/>
    <w:rsid w:val="00F55C87"/>
    <w:rsid w:val="00F6633E"/>
    <w:rsid w:val="00F720AC"/>
    <w:rsid w:val="00F720BB"/>
    <w:rsid w:val="00FB0B5B"/>
    <w:rsid w:val="00FC28D6"/>
    <w:rsid w:val="00FF4A09"/>
    <w:rsid w:val="00FF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8C46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6F2"/>
    <w:rPr>
      <w:rFonts w:ascii="Times New Roman" w:eastAsia="Times New Roman" w:hAnsi="Times New Roman" w:cs="Times New Roman"/>
    </w:rPr>
  </w:style>
  <w:style w:type="paragraph" w:styleId="Heading1">
    <w:name w:val="heading 1"/>
    <w:basedOn w:val="Normal"/>
    <w:next w:val="Normal"/>
    <w:link w:val="Heading1Char"/>
    <w:uiPriority w:val="9"/>
    <w:qFormat/>
    <w:rsid w:val="002678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1A9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94AE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DCD"/>
    <w:rPr>
      <w:color w:val="0563C1" w:themeColor="hyperlink"/>
      <w:u w:val="single"/>
    </w:rPr>
  </w:style>
  <w:style w:type="paragraph" w:styleId="EndnoteText">
    <w:name w:val="endnote text"/>
    <w:basedOn w:val="Normal"/>
    <w:link w:val="EndnoteTextChar"/>
    <w:uiPriority w:val="99"/>
    <w:unhideWhenUsed/>
    <w:rsid w:val="00490F72"/>
  </w:style>
  <w:style w:type="character" w:customStyle="1" w:styleId="EndnoteTextChar">
    <w:name w:val="Endnote Text Char"/>
    <w:basedOn w:val="DefaultParagraphFont"/>
    <w:link w:val="EndnoteText"/>
    <w:uiPriority w:val="99"/>
    <w:rsid w:val="00490F72"/>
    <w:rPr>
      <w:rFonts w:ascii="Times New Roman" w:eastAsia="Times New Roman" w:hAnsi="Times New Roman" w:cs="Times New Roman"/>
    </w:rPr>
  </w:style>
  <w:style w:type="character" w:styleId="EndnoteReference">
    <w:name w:val="endnote reference"/>
    <w:basedOn w:val="DefaultParagraphFont"/>
    <w:uiPriority w:val="99"/>
    <w:unhideWhenUsed/>
    <w:rsid w:val="00490F72"/>
    <w:rPr>
      <w:vertAlign w:val="superscript"/>
    </w:rPr>
  </w:style>
  <w:style w:type="paragraph" w:styleId="ListParagraph">
    <w:name w:val="List Paragraph"/>
    <w:basedOn w:val="Normal"/>
    <w:uiPriority w:val="34"/>
    <w:qFormat/>
    <w:rsid w:val="00CE4366"/>
    <w:pPr>
      <w:ind w:left="720"/>
      <w:contextualSpacing/>
    </w:pPr>
  </w:style>
  <w:style w:type="character" w:styleId="FollowedHyperlink">
    <w:name w:val="FollowedHyperlink"/>
    <w:basedOn w:val="DefaultParagraphFont"/>
    <w:uiPriority w:val="99"/>
    <w:semiHidden/>
    <w:unhideWhenUsed/>
    <w:rsid w:val="000F6F96"/>
    <w:rPr>
      <w:color w:val="954F72" w:themeColor="followedHyperlink"/>
      <w:u w:val="single"/>
    </w:rPr>
  </w:style>
  <w:style w:type="paragraph" w:styleId="Header">
    <w:name w:val="header"/>
    <w:basedOn w:val="Normal"/>
    <w:link w:val="HeaderChar"/>
    <w:uiPriority w:val="99"/>
    <w:unhideWhenUsed/>
    <w:rsid w:val="00B13F06"/>
    <w:pPr>
      <w:tabs>
        <w:tab w:val="center" w:pos="4680"/>
        <w:tab w:val="right" w:pos="9360"/>
      </w:tabs>
    </w:pPr>
  </w:style>
  <w:style w:type="character" w:customStyle="1" w:styleId="HeaderChar">
    <w:name w:val="Header Char"/>
    <w:basedOn w:val="DefaultParagraphFont"/>
    <w:link w:val="Header"/>
    <w:uiPriority w:val="99"/>
    <w:rsid w:val="00B13F06"/>
    <w:rPr>
      <w:rFonts w:ascii="Times New Roman" w:eastAsia="Times New Roman" w:hAnsi="Times New Roman" w:cs="Times New Roman"/>
    </w:rPr>
  </w:style>
  <w:style w:type="paragraph" w:styleId="Footer">
    <w:name w:val="footer"/>
    <w:basedOn w:val="Normal"/>
    <w:link w:val="FooterChar"/>
    <w:uiPriority w:val="99"/>
    <w:unhideWhenUsed/>
    <w:rsid w:val="00B13F06"/>
    <w:pPr>
      <w:tabs>
        <w:tab w:val="center" w:pos="4680"/>
        <w:tab w:val="right" w:pos="9360"/>
      </w:tabs>
    </w:pPr>
  </w:style>
  <w:style w:type="character" w:customStyle="1" w:styleId="FooterChar">
    <w:name w:val="Footer Char"/>
    <w:basedOn w:val="DefaultParagraphFont"/>
    <w:link w:val="Footer"/>
    <w:uiPriority w:val="99"/>
    <w:rsid w:val="00B13F06"/>
    <w:rPr>
      <w:rFonts w:ascii="Times New Roman" w:eastAsia="Times New Roman" w:hAnsi="Times New Roman" w:cs="Times New Roman"/>
    </w:rPr>
  </w:style>
  <w:style w:type="paragraph" w:styleId="NormalWeb">
    <w:name w:val="Normal (Web)"/>
    <w:basedOn w:val="Normal"/>
    <w:uiPriority w:val="99"/>
    <w:semiHidden/>
    <w:unhideWhenUsed/>
    <w:rsid w:val="0070497C"/>
  </w:style>
  <w:style w:type="table" w:styleId="TableGrid">
    <w:name w:val="Table Grid"/>
    <w:basedOn w:val="TableNormal"/>
    <w:uiPriority w:val="39"/>
    <w:rsid w:val="00784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787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41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A93"/>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E41A9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94AE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0594">
      <w:bodyDiv w:val="1"/>
      <w:marLeft w:val="0"/>
      <w:marRight w:val="0"/>
      <w:marTop w:val="0"/>
      <w:marBottom w:val="0"/>
      <w:divBdr>
        <w:top w:val="none" w:sz="0" w:space="0" w:color="auto"/>
        <w:left w:val="none" w:sz="0" w:space="0" w:color="auto"/>
        <w:bottom w:val="none" w:sz="0" w:space="0" w:color="auto"/>
        <w:right w:val="none" w:sz="0" w:space="0" w:color="auto"/>
      </w:divBdr>
    </w:div>
    <w:div w:id="190997561">
      <w:bodyDiv w:val="1"/>
      <w:marLeft w:val="0"/>
      <w:marRight w:val="0"/>
      <w:marTop w:val="0"/>
      <w:marBottom w:val="0"/>
      <w:divBdr>
        <w:top w:val="none" w:sz="0" w:space="0" w:color="auto"/>
        <w:left w:val="none" w:sz="0" w:space="0" w:color="auto"/>
        <w:bottom w:val="none" w:sz="0" w:space="0" w:color="auto"/>
        <w:right w:val="none" w:sz="0" w:space="0" w:color="auto"/>
      </w:divBdr>
    </w:div>
    <w:div w:id="210923491">
      <w:bodyDiv w:val="1"/>
      <w:marLeft w:val="0"/>
      <w:marRight w:val="0"/>
      <w:marTop w:val="0"/>
      <w:marBottom w:val="0"/>
      <w:divBdr>
        <w:top w:val="none" w:sz="0" w:space="0" w:color="auto"/>
        <w:left w:val="none" w:sz="0" w:space="0" w:color="auto"/>
        <w:bottom w:val="none" w:sz="0" w:space="0" w:color="auto"/>
        <w:right w:val="none" w:sz="0" w:space="0" w:color="auto"/>
      </w:divBdr>
    </w:div>
    <w:div w:id="233244169">
      <w:bodyDiv w:val="1"/>
      <w:marLeft w:val="0"/>
      <w:marRight w:val="0"/>
      <w:marTop w:val="0"/>
      <w:marBottom w:val="0"/>
      <w:divBdr>
        <w:top w:val="none" w:sz="0" w:space="0" w:color="auto"/>
        <w:left w:val="none" w:sz="0" w:space="0" w:color="auto"/>
        <w:bottom w:val="none" w:sz="0" w:space="0" w:color="auto"/>
        <w:right w:val="none" w:sz="0" w:space="0" w:color="auto"/>
      </w:divBdr>
    </w:div>
    <w:div w:id="280455672">
      <w:bodyDiv w:val="1"/>
      <w:marLeft w:val="0"/>
      <w:marRight w:val="0"/>
      <w:marTop w:val="0"/>
      <w:marBottom w:val="0"/>
      <w:divBdr>
        <w:top w:val="none" w:sz="0" w:space="0" w:color="auto"/>
        <w:left w:val="none" w:sz="0" w:space="0" w:color="auto"/>
        <w:bottom w:val="none" w:sz="0" w:space="0" w:color="auto"/>
        <w:right w:val="none" w:sz="0" w:space="0" w:color="auto"/>
      </w:divBdr>
    </w:div>
    <w:div w:id="337344295">
      <w:bodyDiv w:val="1"/>
      <w:marLeft w:val="0"/>
      <w:marRight w:val="0"/>
      <w:marTop w:val="0"/>
      <w:marBottom w:val="0"/>
      <w:divBdr>
        <w:top w:val="none" w:sz="0" w:space="0" w:color="auto"/>
        <w:left w:val="none" w:sz="0" w:space="0" w:color="auto"/>
        <w:bottom w:val="none" w:sz="0" w:space="0" w:color="auto"/>
        <w:right w:val="none" w:sz="0" w:space="0" w:color="auto"/>
      </w:divBdr>
    </w:div>
    <w:div w:id="343557654">
      <w:bodyDiv w:val="1"/>
      <w:marLeft w:val="0"/>
      <w:marRight w:val="0"/>
      <w:marTop w:val="0"/>
      <w:marBottom w:val="0"/>
      <w:divBdr>
        <w:top w:val="none" w:sz="0" w:space="0" w:color="auto"/>
        <w:left w:val="none" w:sz="0" w:space="0" w:color="auto"/>
        <w:bottom w:val="none" w:sz="0" w:space="0" w:color="auto"/>
        <w:right w:val="none" w:sz="0" w:space="0" w:color="auto"/>
      </w:divBdr>
    </w:div>
    <w:div w:id="366952253">
      <w:bodyDiv w:val="1"/>
      <w:marLeft w:val="0"/>
      <w:marRight w:val="0"/>
      <w:marTop w:val="0"/>
      <w:marBottom w:val="0"/>
      <w:divBdr>
        <w:top w:val="none" w:sz="0" w:space="0" w:color="auto"/>
        <w:left w:val="none" w:sz="0" w:space="0" w:color="auto"/>
        <w:bottom w:val="none" w:sz="0" w:space="0" w:color="auto"/>
        <w:right w:val="none" w:sz="0" w:space="0" w:color="auto"/>
      </w:divBdr>
    </w:div>
    <w:div w:id="455953314">
      <w:bodyDiv w:val="1"/>
      <w:marLeft w:val="0"/>
      <w:marRight w:val="0"/>
      <w:marTop w:val="0"/>
      <w:marBottom w:val="0"/>
      <w:divBdr>
        <w:top w:val="none" w:sz="0" w:space="0" w:color="auto"/>
        <w:left w:val="none" w:sz="0" w:space="0" w:color="auto"/>
        <w:bottom w:val="none" w:sz="0" w:space="0" w:color="auto"/>
        <w:right w:val="none" w:sz="0" w:space="0" w:color="auto"/>
      </w:divBdr>
    </w:div>
    <w:div w:id="633099595">
      <w:bodyDiv w:val="1"/>
      <w:marLeft w:val="0"/>
      <w:marRight w:val="0"/>
      <w:marTop w:val="0"/>
      <w:marBottom w:val="0"/>
      <w:divBdr>
        <w:top w:val="none" w:sz="0" w:space="0" w:color="auto"/>
        <w:left w:val="none" w:sz="0" w:space="0" w:color="auto"/>
        <w:bottom w:val="none" w:sz="0" w:space="0" w:color="auto"/>
        <w:right w:val="none" w:sz="0" w:space="0" w:color="auto"/>
      </w:divBdr>
    </w:div>
    <w:div w:id="644166679">
      <w:bodyDiv w:val="1"/>
      <w:marLeft w:val="0"/>
      <w:marRight w:val="0"/>
      <w:marTop w:val="0"/>
      <w:marBottom w:val="0"/>
      <w:divBdr>
        <w:top w:val="none" w:sz="0" w:space="0" w:color="auto"/>
        <w:left w:val="none" w:sz="0" w:space="0" w:color="auto"/>
        <w:bottom w:val="none" w:sz="0" w:space="0" w:color="auto"/>
        <w:right w:val="none" w:sz="0" w:space="0" w:color="auto"/>
      </w:divBdr>
    </w:div>
    <w:div w:id="755827900">
      <w:bodyDiv w:val="1"/>
      <w:marLeft w:val="0"/>
      <w:marRight w:val="0"/>
      <w:marTop w:val="0"/>
      <w:marBottom w:val="0"/>
      <w:divBdr>
        <w:top w:val="none" w:sz="0" w:space="0" w:color="auto"/>
        <w:left w:val="none" w:sz="0" w:space="0" w:color="auto"/>
        <w:bottom w:val="none" w:sz="0" w:space="0" w:color="auto"/>
        <w:right w:val="none" w:sz="0" w:space="0" w:color="auto"/>
      </w:divBdr>
    </w:div>
    <w:div w:id="776558692">
      <w:bodyDiv w:val="1"/>
      <w:marLeft w:val="0"/>
      <w:marRight w:val="0"/>
      <w:marTop w:val="0"/>
      <w:marBottom w:val="0"/>
      <w:divBdr>
        <w:top w:val="none" w:sz="0" w:space="0" w:color="auto"/>
        <w:left w:val="none" w:sz="0" w:space="0" w:color="auto"/>
        <w:bottom w:val="none" w:sz="0" w:space="0" w:color="auto"/>
        <w:right w:val="none" w:sz="0" w:space="0" w:color="auto"/>
      </w:divBdr>
    </w:div>
    <w:div w:id="783117123">
      <w:bodyDiv w:val="1"/>
      <w:marLeft w:val="0"/>
      <w:marRight w:val="0"/>
      <w:marTop w:val="0"/>
      <w:marBottom w:val="0"/>
      <w:divBdr>
        <w:top w:val="none" w:sz="0" w:space="0" w:color="auto"/>
        <w:left w:val="none" w:sz="0" w:space="0" w:color="auto"/>
        <w:bottom w:val="none" w:sz="0" w:space="0" w:color="auto"/>
        <w:right w:val="none" w:sz="0" w:space="0" w:color="auto"/>
      </w:divBdr>
    </w:div>
    <w:div w:id="846871077">
      <w:bodyDiv w:val="1"/>
      <w:marLeft w:val="0"/>
      <w:marRight w:val="0"/>
      <w:marTop w:val="0"/>
      <w:marBottom w:val="0"/>
      <w:divBdr>
        <w:top w:val="none" w:sz="0" w:space="0" w:color="auto"/>
        <w:left w:val="none" w:sz="0" w:space="0" w:color="auto"/>
        <w:bottom w:val="none" w:sz="0" w:space="0" w:color="auto"/>
        <w:right w:val="none" w:sz="0" w:space="0" w:color="auto"/>
      </w:divBdr>
    </w:div>
    <w:div w:id="1034161518">
      <w:bodyDiv w:val="1"/>
      <w:marLeft w:val="0"/>
      <w:marRight w:val="0"/>
      <w:marTop w:val="0"/>
      <w:marBottom w:val="0"/>
      <w:divBdr>
        <w:top w:val="none" w:sz="0" w:space="0" w:color="auto"/>
        <w:left w:val="none" w:sz="0" w:space="0" w:color="auto"/>
        <w:bottom w:val="none" w:sz="0" w:space="0" w:color="auto"/>
        <w:right w:val="none" w:sz="0" w:space="0" w:color="auto"/>
      </w:divBdr>
    </w:div>
    <w:div w:id="1040082931">
      <w:bodyDiv w:val="1"/>
      <w:marLeft w:val="0"/>
      <w:marRight w:val="0"/>
      <w:marTop w:val="0"/>
      <w:marBottom w:val="0"/>
      <w:divBdr>
        <w:top w:val="none" w:sz="0" w:space="0" w:color="auto"/>
        <w:left w:val="none" w:sz="0" w:space="0" w:color="auto"/>
        <w:bottom w:val="none" w:sz="0" w:space="0" w:color="auto"/>
        <w:right w:val="none" w:sz="0" w:space="0" w:color="auto"/>
      </w:divBdr>
    </w:div>
    <w:div w:id="1180394030">
      <w:bodyDiv w:val="1"/>
      <w:marLeft w:val="0"/>
      <w:marRight w:val="0"/>
      <w:marTop w:val="0"/>
      <w:marBottom w:val="0"/>
      <w:divBdr>
        <w:top w:val="none" w:sz="0" w:space="0" w:color="auto"/>
        <w:left w:val="none" w:sz="0" w:space="0" w:color="auto"/>
        <w:bottom w:val="none" w:sz="0" w:space="0" w:color="auto"/>
        <w:right w:val="none" w:sz="0" w:space="0" w:color="auto"/>
      </w:divBdr>
    </w:div>
    <w:div w:id="1232689250">
      <w:bodyDiv w:val="1"/>
      <w:marLeft w:val="0"/>
      <w:marRight w:val="0"/>
      <w:marTop w:val="0"/>
      <w:marBottom w:val="0"/>
      <w:divBdr>
        <w:top w:val="none" w:sz="0" w:space="0" w:color="auto"/>
        <w:left w:val="none" w:sz="0" w:space="0" w:color="auto"/>
        <w:bottom w:val="none" w:sz="0" w:space="0" w:color="auto"/>
        <w:right w:val="none" w:sz="0" w:space="0" w:color="auto"/>
      </w:divBdr>
    </w:div>
    <w:div w:id="1281645119">
      <w:bodyDiv w:val="1"/>
      <w:marLeft w:val="0"/>
      <w:marRight w:val="0"/>
      <w:marTop w:val="0"/>
      <w:marBottom w:val="0"/>
      <w:divBdr>
        <w:top w:val="none" w:sz="0" w:space="0" w:color="auto"/>
        <w:left w:val="none" w:sz="0" w:space="0" w:color="auto"/>
        <w:bottom w:val="none" w:sz="0" w:space="0" w:color="auto"/>
        <w:right w:val="none" w:sz="0" w:space="0" w:color="auto"/>
      </w:divBdr>
    </w:div>
    <w:div w:id="1287856478">
      <w:bodyDiv w:val="1"/>
      <w:marLeft w:val="0"/>
      <w:marRight w:val="0"/>
      <w:marTop w:val="0"/>
      <w:marBottom w:val="0"/>
      <w:divBdr>
        <w:top w:val="none" w:sz="0" w:space="0" w:color="auto"/>
        <w:left w:val="none" w:sz="0" w:space="0" w:color="auto"/>
        <w:bottom w:val="none" w:sz="0" w:space="0" w:color="auto"/>
        <w:right w:val="none" w:sz="0" w:space="0" w:color="auto"/>
      </w:divBdr>
    </w:div>
    <w:div w:id="1305044723">
      <w:bodyDiv w:val="1"/>
      <w:marLeft w:val="0"/>
      <w:marRight w:val="0"/>
      <w:marTop w:val="0"/>
      <w:marBottom w:val="0"/>
      <w:divBdr>
        <w:top w:val="none" w:sz="0" w:space="0" w:color="auto"/>
        <w:left w:val="none" w:sz="0" w:space="0" w:color="auto"/>
        <w:bottom w:val="none" w:sz="0" w:space="0" w:color="auto"/>
        <w:right w:val="none" w:sz="0" w:space="0" w:color="auto"/>
      </w:divBdr>
    </w:div>
    <w:div w:id="1384870879">
      <w:bodyDiv w:val="1"/>
      <w:marLeft w:val="0"/>
      <w:marRight w:val="0"/>
      <w:marTop w:val="0"/>
      <w:marBottom w:val="0"/>
      <w:divBdr>
        <w:top w:val="none" w:sz="0" w:space="0" w:color="auto"/>
        <w:left w:val="none" w:sz="0" w:space="0" w:color="auto"/>
        <w:bottom w:val="none" w:sz="0" w:space="0" w:color="auto"/>
        <w:right w:val="none" w:sz="0" w:space="0" w:color="auto"/>
      </w:divBdr>
    </w:div>
    <w:div w:id="1445806645">
      <w:bodyDiv w:val="1"/>
      <w:marLeft w:val="0"/>
      <w:marRight w:val="0"/>
      <w:marTop w:val="0"/>
      <w:marBottom w:val="0"/>
      <w:divBdr>
        <w:top w:val="none" w:sz="0" w:space="0" w:color="auto"/>
        <w:left w:val="none" w:sz="0" w:space="0" w:color="auto"/>
        <w:bottom w:val="none" w:sz="0" w:space="0" w:color="auto"/>
        <w:right w:val="none" w:sz="0" w:space="0" w:color="auto"/>
      </w:divBdr>
    </w:div>
    <w:div w:id="1507017276">
      <w:bodyDiv w:val="1"/>
      <w:marLeft w:val="0"/>
      <w:marRight w:val="0"/>
      <w:marTop w:val="0"/>
      <w:marBottom w:val="0"/>
      <w:divBdr>
        <w:top w:val="none" w:sz="0" w:space="0" w:color="auto"/>
        <w:left w:val="none" w:sz="0" w:space="0" w:color="auto"/>
        <w:bottom w:val="none" w:sz="0" w:space="0" w:color="auto"/>
        <w:right w:val="none" w:sz="0" w:space="0" w:color="auto"/>
      </w:divBdr>
    </w:div>
    <w:div w:id="1518426922">
      <w:bodyDiv w:val="1"/>
      <w:marLeft w:val="0"/>
      <w:marRight w:val="0"/>
      <w:marTop w:val="0"/>
      <w:marBottom w:val="0"/>
      <w:divBdr>
        <w:top w:val="none" w:sz="0" w:space="0" w:color="auto"/>
        <w:left w:val="none" w:sz="0" w:space="0" w:color="auto"/>
        <w:bottom w:val="none" w:sz="0" w:space="0" w:color="auto"/>
        <w:right w:val="none" w:sz="0" w:space="0" w:color="auto"/>
      </w:divBdr>
    </w:div>
    <w:div w:id="1536117810">
      <w:bodyDiv w:val="1"/>
      <w:marLeft w:val="0"/>
      <w:marRight w:val="0"/>
      <w:marTop w:val="0"/>
      <w:marBottom w:val="0"/>
      <w:divBdr>
        <w:top w:val="none" w:sz="0" w:space="0" w:color="auto"/>
        <w:left w:val="none" w:sz="0" w:space="0" w:color="auto"/>
        <w:bottom w:val="none" w:sz="0" w:space="0" w:color="auto"/>
        <w:right w:val="none" w:sz="0" w:space="0" w:color="auto"/>
      </w:divBdr>
    </w:div>
    <w:div w:id="1565677720">
      <w:bodyDiv w:val="1"/>
      <w:marLeft w:val="0"/>
      <w:marRight w:val="0"/>
      <w:marTop w:val="0"/>
      <w:marBottom w:val="0"/>
      <w:divBdr>
        <w:top w:val="none" w:sz="0" w:space="0" w:color="auto"/>
        <w:left w:val="none" w:sz="0" w:space="0" w:color="auto"/>
        <w:bottom w:val="none" w:sz="0" w:space="0" w:color="auto"/>
        <w:right w:val="none" w:sz="0" w:space="0" w:color="auto"/>
      </w:divBdr>
    </w:div>
    <w:div w:id="1715426638">
      <w:bodyDiv w:val="1"/>
      <w:marLeft w:val="0"/>
      <w:marRight w:val="0"/>
      <w:marTop w:val="0"/>
      <w:marBottom w:val="0"/>
      <w:divBdr>
        <w:top w:val="none" w:sz="0" w:space="0" w:color="auto"/>
        <w:left w:val="none" w:sz="0" w:space="0" w:color="auto"/>
        <w:bottom w:val="none" w:sz="0" w:space="0" w:color="auto"/>
        <w:right w:val="none" w:sz="0" w:space="0" w:color="auto"/>
      </w:divBdr>
    </w:div>
    <w:div w:id="1744184179">
      <w:bodyDiv w:val="1"/>
      <w:marLeft w:val="0"/>
      <w:marRight w:val="0"/>
      <w:marTop w:val="0"/>
      <w:marBottom w:val="0"/>
      <w:divBdr>
        <w:top w:val="none" w:sz="0" w:space="0" w:color="auto"/>
        <w:left w:val="none" w:sz="0" w:space="0" w:color="auto"/>
        <w:bottom w:val="none" w:sz="0" w:space="0" w:color="auto"/>
        <w:right w:val="none" w:sz="0" w:space="0" w:color="auto"/>
      </w:divBdr>
    </w:div>
    <w:div w:id="1751997956">
      <w:bodyDiv w:val="1"/>
      <w:marLeft w:val="0"/>
      <w:marRight w:val="0"/>
      <w:marTop w:val="0"/>
      <w:marBottom w:val="0"/>
      <w:divBdr>
        <w:top w:val="none" w:sz="0" w:space="0" w:color="auto"/>
        <w:left w:val="none" w:sz="0" w:space="0" w:color="auto"/>
        <w:bottom w:val="none" w:sz="0" w:space="0" w:color="auto"/>
        <w:right w:val="none" w:sz="0" w:space="0" w:color="auto"/>
      </w:divBdr>
    </w:div>
    <w:div w:id="1860464869">
      <w:bodyDiv w:val="1"/>
      <w:marLeft w:val="0"/>
      <w:marRight w:val="0"/>
      <w:marTop w:val="0"/>
      <w:marBottom w:val="0"/>
      <w:divBdr>
        <w:top w:val="none" w:sz="0" w:space="0" w:color="auto"/>
        <w:left w:val="none" w:sz="0" w:space="0" w:color="auto"/>
        <w:bottom w:val="none" w:sz="0" w:space="0" w:color="auto"/>
        <w:right w:val="none" w:sz="0" w:space="0" w:color="auto"/>
      </w:divBdr>
    </w:div>
    <w:div w:id="1991707467">
      <w:bodyDiv w:val="1"/>
      <w:marLeft w:val="0"/>
      <w:marRight w:val="0"/>
      <w:marTop w:val="0"/>
      <w:marBottom w:val="0"/>
      <w:divBdr>
        <w:top w:val="none" w:sz="0" w:space="0" w:color="auto"/>
        <w:left w:val="none" w:sz="0" w:space="0" w:color="auto"/>
        <w:bottom w:val="none" w:sz="0" w:space="0" w:color="auto"/>
        <w:right w:val="none" w:sz="0" w:space="0" w:color="auto"/>
      </w:divBdr>
    </w:div>
    <w:div w:id="2063825668">
      <w:bodyDiv w:val="1"/>
      <w:marLeft w:val="0"/>
      <w:marRight w:val="0"/>
      <w:marTop w:val="0"/>
      <w:marBottom w:val="0"/>
      <w:divBdr>
        <w:top w:val="none" w:sz="0" w:space="0" w:color="auto"/>
        <w:left w:val="none" w:sz="0" w:space="0" w:color="auto"/>
        <w:bottom w:val="none" w:sz="0" w:space="0" w:color="auto"/>
        <w:right w:val="none" w:sz="0" w:space="0" w:color="auto"/>
      </w:divBdr>
    </w:div>
    <w:div w:id="20706849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is.org/" TargetMode="External"/><Relationship Id="rId13" Type="http://schemas.openxmlformats.org/officeDocument/2006/relationships/hyperlink" Target="https://www.cdc.gov/healthyyouth/protective/pdf/connectedness_administrators.pdf" TargetMode="External"/><Relationship Id="rId18" Type="http://schemas.openxmlformats.org/officeDocument/2006/relationships/hyperlink" Target="http://www.ascd.org/research-a-topic/school-culture-and-climate-resources.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afesupportivelearning.ed.gov/" TargetMode="External"/><Relationship Id="rId7" Type="http://schemas.openxmlformats.org/officeDocument/2006/relationships/endnotes" Target="endnotes.xml"/><Relationship Id="rId12" Type="http://schemas.openxmlformats.org/officeDocument/2006/relationships/hyperlink" Target="https://casel.org/guide/" TargetMode="External"/><Relationship Id="rId17" Type="http://schemas.openxmlformats.org/officeDocument/2006/relationships/hyperlink" Target="https://www.cdc.gov/healthyyouth/protective/pdf/connectedness_facilitator_guide.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dc.gov/healthyyouth/protective/pdf/connectedness.pdf" TargetMode="External"/><Relationship Id="rId20" Type="http://schemas.openxmlformats.org/officeDocument/2006/relationships/hyperlink" Target="http://www.search-institute.org/content/40-developmental-assets-adolescents-ages-12-18"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xca.org/tca/default.as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dc.gov/healthyyouth/protective/pdf/connectedness_parents.pdf" TargetMode="External"/><Relationship Id="rId23" Type="http://schemas.openxmlformats.org/officeDocument/2006/relationships/hyperlink" Target="https://www.schoolclimate.org/themes/schoolclimate/assets/pdf/policy/school-climate-standards.pdf" TargetMode="External"/><Relationship Id="rId28" Type="http://schemas.openxmlformats.org/officeDocument/2006/relationships/header" Target="header3.xml"/><Relationship Id="rId10" Type="http://schemas.openxmlformats.org/officeDocument/2006/relationships/hyperlink" Target="https://irjrd.org/" TargetMode="External"/><Relationship Id="rId19" Type="http://schemas.openxmlformats.org/officeDocument/2006/relationships/hyperlink" Target="https://www.search-institute.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xbehaviorsupport.org/" TargetMode="External"/><Relationship Id="rId14" Type="http://schemas.openxmlformats.org/officeDocument/2006/relationships/hyperlink" Target="https://www.cdc.gov/healthyyouth/protective/pdf/connectedness_teachers.pdf" TargetMode="External"/><Relationship Id="rId22" Type="http://schemas.openxmlformats.org/officeDocument/2006/relationships/hyperlink" Target="https://www.schoolclimate.or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CD4E18-F927-47CF-98B9-E512121A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Beard,Crystal (DSHS)</cp:lastModifiedBy>
  <cp:revision>2</cp:revision>
  <cp:lastPrinted>2018-02-21T20:26:00Z</cp:lastPrinted>
  <dcterms:created xsi:type="dcterms:W3CDTF">2018-02-22T19:38:00Z</dcterms:created>
  <dcterms:modified xsi:type="dcterms:W3CDTF">2018-02-22T19:38:00Z</dcterms:modified>
</cp:coreProperties>
</file>